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E5CD" w14:textId="77777777" w:rsidR="007041D0" w:rsidRDefault="006B10FA" w:rsidP="006B10FA">
      <w:pPr>
        <w:pStyle w:val="DaftarParagraf"/>
        <w:tabs>
          <w:tab w:val="left" w:pos="360"/>
        </w:tabs>
        <w:spacing w:before="240" w:line="360" w:lineRule="auto"/>
        <w:ind w:left="0"/>
        <w:jc w:val="center"/>
        <w:rPr>
          <w:rFonts w:cs="Traditional Arabic"/>
          <w:b/>
          <w:bCs/>
          <w:szCs w:val="36"/>
          <w:lang w:val="id-ID"/>
        </w:rPr>
      </w:pPr>
      <w:r w:rsidRPr="00B45FC8">
        <w:rPr>
          <w:rFonts w:cs="Traditional Arabic"/>
          <w:b/>
          <w:bCs/>
          <w:szCs w:val="36"/>
          <w:lang w:val="id-ID"/>
        </w:rPr>
        <w:t xml:space="preserve">THE QUR'AN IN THE VIEW OF ISLAMIC SCHOLARS AND ORIENTALISTS: </w:t>
      </w:r>
      <w:bookmarkStart w:id="0" w:name="_Hlk190012802"/>
      <w:r w:rsidRPr="006B10FA">
        <w:rPr>
          <w:rFonts w:cs="Traditional Arabic"/>
          <w:b/>
          <w:bCs/>
          <w:szCs w:val="36"/>
          <w:lang w:val="id-ID"/>
        </w:rPr>
        <w:t>ELABORATIVE PARADIGM IN INTERTEXTUAL READING OF THE CONCEPT OF QISAS Q.S. AL-MAIDAH: 32-33</w:t>
      </w:r>
    </w:p>
    <w:bookmarkEnd w:id="0"/>
    <w:p w14:paraId="34A2D5FE" w14:textId="77777777" w:rsidR="00306664" w:rsidRDefault="00306664" w:rsidP="00306664">
      <w:pPr>
        <w:ind w:firstLine="720"/>
        <w:jc w:val="center"/>
        <w:rPr>
          <w:b/>
          <w:bCs/>
          <w:lang w:val="id-ID"/>
        </w:rPr>
      </w:pPr>
    </w:p>
    <w:p w14:paraId="65F85168" w14:textId="6A167C42" w:rsidR="00306664" w:rsidRDefault="00835F3E" w:rsidP="00E332FC">
      <w:pPr>
        <w:jc w:val="center"/>
        <w:rPr>
          <w:b/>
          <w:bCs/>
          <w:lang w:val="id-ID"/>
        </w:rPr>
      </w:pPr>
      <w:r>
        <w:rPr>
          <w:b/>
          <w:bCs/>
          <w:lang w:val="id-ID"/>
        </w:rPr>
        <w:t>Moh. Yardho</w:t>
      </w:r>
      <w:r w:rsidR="00306664">
        <w:rPr>
          <w:b/>
          <w:bCs/>
          <w:vertAlign w:val="superscript"/>
          <w:lang w:val="id-ID"/>
        </w:rPr>
        <w:t>1</w:t>
      </w:r>
      <w:r w:rsidR="00E752FC">
        <w:rPr>
          <w:b/>
          <w:bCs/>
          <w:lang w:val="id-ID"/>
        </w:rPr>
        <w:t>,</w:t>
      </w:r>
      <w:r w:rsidR="00306664">
        <w:rPr>
          <w:b/>
          <w:bCs/>
          <w:lang w:val="id-ID"/>
        </w:rPr>
        <w:t xml:space="preserve"> </w:t>
      </w:r>
      <w:r>
        <w:rPr>
          <w:b/>
          <w:bCs/>
          <w:lang w:val="id-ID"/>
        </w:rPr>
        <w:t>Fadhil Achmad Agus Bahari</w:t>
      </w:r>
      <w:r w:rsidR="00306664">
        <w:rPr>
          <w:b/>
          <w:bCs/>
          <w:vertAlign w:val="superscript"/>
          <w:lang w:val="id-ID"/>
        </w:rPr>
        <w:t>2</w:t>
      </w:r>
      <w:r w:rsidR="00E752FC">
        <w:rPr>
          <w:b/>
          <w:bCs/>
          <w:lang w:val="id-ID"/>
        </w:rPr>
        <w:t>,</w:t>
      </w:r>
      <w:r w:rsidR="00E752FC">
        <w:rPr>
          <w:b/>
          <w:bCs/>
          <w:lang w:val="id-ID"/>
        </w:rPr>
        <w:t xml:space="preserve"> and Abdul Rohman</w:t>
      </w:r>
      <w:r w:rsidR="00E752FC">
        <w:rPr>
          <w:b/>
          <w:bCs/>
          <w:vertAlign w:val="superscript"/>
          <w:lang w:val="id-ID"/>
        </w:rPr>
        <w:t>3</w:t>
      </w:r>
    </w:p>
    <w:p w14:paraId="0257DE59" w14:textId="34751475" w:rsidR="00306664" w:rsidRDefault="00306664" w:rsidP="00E332FC">
      <w:pPr>
        <w:pStyle w:val="TidakAdaSpasi"/>
        <w:jc w:val="center"/>
        <w:rPr>
          <w:rFonts w:asciiTheme="majorBidi" w:hAnsiTheme="majorBidi" w:cstheme="majorBidi"/>
          <w:sz w:val="24"/>
          <w:szCs w:val="24"/>
          <w:lang w:val="id-ID"/>
        </w:rPr>
      </w:pPr>
      <w:r w:rsidRPr="006F148D">
        <w:rPr>
          <w:rFonts w:asciiTheme="majorBidi" w:hAnsiTheme="majorBidi" w:cstheme="majorBidi"/>
          <w:sz w:val="24"/>
          <w:szCs w:val="24"/>
          <w:vertAlign w:val="superscript"/>
          <w:lang w:val="id-ID"/>
        </w:rPr>
        <w:t>1</w:t>
      </w:r>
      <w:r w:rsidR="00835F3E">
        <w:rPr>
          <w:rFonts w:asciiTheme="majorBidi" w:hAnsiTheme="majorBidi" w:cstheme="majorBidi"/>
          <w:sz w:val="24"/>
          <w:szCs w:val="24"/>
          <w:vertAlign w:val="superscript"/>
          <w:lang w:val="id-ID"/>
        </w:rPr>
        <w:t xml:space="preserve"> 2</w:t>
      </w:r>
      <w:r w:rsidR="00E332FC">
        <w:rPr>
          <w:rFonts w:asciiTheme="majorBidi" w:hAnsiTheme="majorBidi" w:cstheme="majorBidi"/>
          <w:sz w:val="24"/>
          <w:szCs w:val="24"/>
          <w:vertAlign w:val="superscript"/>
          <w:lang w:val="id-ID"/>
        </w:rPr>
        <w:t xml:space="preserve"> </w:t>
      </w:r>
      <w:r w:rsidR="00E752FC">
        <w:rPr>
          <w:rFonts w:asciiTheme="majorBidi" w:hAnsiTheme="majorBidi" w:cstheme="majorBidi"/>
          <w:sz w:val="24"/>
          <w:szCs w:val="24"/>
          <w:vertAlign w:val="superscript"/>
          <w:lang w:val="id-ID"/>
        </w:rPr>
        <w:t>3</w:t>
      </w:r>
      <w:r w:rsidR="00835F3E">
        <w:rPr>
          <w:rFonts w:asciiTheme="majorBidi" w:hAnsiTheme="majorBidi" w:cstheme="majorBidi"/>
          <w:sz w:val="24"/>
          <w:szCs w:val="24"/>
          <w:lang w:val="id-ID"/>
        </w:rPr>
        <w:t>Universitas Islam Negeri Sunan Ampel Surabaya</w:t>
      </w:r>
    </w:p>
    <w:p w14:paraId="40D573BF" w14:textId="3D3D35C4" w:rsidR="00E752FC" w:rsidRPr="00E752FC" w:rsidRDefault="00835F3E" w:rsidP="00E752FC">
      <w:pPr>
        <w:spacing w:line="360" w:lineRule="auto"/>
        <w:jc w:val="center"/>
        <w:rPr>
          <w:b/>
          <w:bCs/>
          <w:vertAlign w:val="superscript"/>
          <w:lang w:val="id-ID"/>
        </w:rPr>
      </w:pPr>
      <w:hyperlink r:id="rId8" w:history="1">
        <w:r w:rsidRPr="00835F3E">
          <w:rPr>
            <w:rStyle w:val="Hyperlink"/>
            <w:b/>
            <w:bCs/>
            <w:color w:val="auto"/>
            <w:u w:val="none"/>
            <w:lang w:val="id-ID"/>
          </w:rPr>
          <w:t>myardho@gmail.com</w:t>
        </w:r>
      </w:hyperlink>
      <w:r w:rsidRPr="00835F3E">
        <w:rPr>
          <w:b/>
          <w:bCs/>
          <w:vertAlign w:val="superscript"/>
          <w:lang w:val="id-ID"/>
        </w:rPr>
        <w:t>1</w:t>
      </w:r>
      <w:r w:rsidRPr="00835F3E">
        <w:rPr>
          <w:b/>
          <w:bCs/>
          <w:lang w:val="id-ID"/>
        </w:rPr>
        <w:t xml:space="preserve">,  </w:t>
      </w:r>
      <w:hyperlink r:id="rId9" w:history="1">
        <w:r w:rsidRPr="00835F3E">
          <w:rPr>
            <w:rStyle w:val="Hyperlink"/>
            <w:b/>
            <w:bCs/>
            <w:color w:val="auto"/>
            <w:u w:val="none"/>
            <w:lang w:val="id-ID"/>
          </w:rPr>
          <w:t>2016fadhil@gmail.com</w:t>
        </w:r>
      </w:hyperlink>
      <w:r w:rsidRPr="00835F3E">
        <w:rPr>
          <w:b/>
          <w:bCs/>
          <w:vertAlign w:val="superscript"/>
          <w:lang w:val="id-ID"/>
        </w:rPr>
        <w:t>2</w:t>
      </w:r>
      <w:r w:rsidR="00E752FC">
        <w:rPr>
          <w:rFonts w:asciiTheme="majorBidi" w:hAnsiTheme="majorBidi"/>
          <w:b/>
          <w:bCs/>
          <w:lang w:val="id-ID"/>
        </w:rPr>
        <w:t>,</w:t>
      </w:r>
      <w:r w:rsidR="00E752FC">
        <w:rPr>
          <w:b/>
          <w:bCs/>
          <w:vertAlign w:val="superscript"/>
          <w:lang w:val="id-ID"/>
        </w:rPr>
        <w:t xml:space="preserve"> </w:t>
      </w:r>
      <w:r w:rsidR="00E752FC" w:rsidRPr="00E752FC">
        <w:rPr>
          <w:rFonts w:asciiTheme="majorBidi" w:hAnsiTheme="majorBidi"/>
          <w:b/>
          <w:bCs/>
          <w:lang w:val="id-ID"/>
        </w:rPr>
        <w:t>ilmanhaq9@gmail.com</w:t>
      </w:r>
      <w:r w:rsidR="00E752FC">
        <w:rPr>
          <w:rFonts w:asciiTheme="majorBidi" w:hAnsiTheme="majorBidi"/>
          <w:b/>
          <w:bCs/>
          <w:vertAlign w:val="superscript"/>
          <w:lang w:val="id-ID"/>
        </w:rPr>
        <w:t>3</w:t>
      </w:r>
    </w:p>
    <w:p w14:paraId="4B1C1729" w14:textId="5B1146C9" w:rsidR="00ED35F8" w:rsidRPr="00E752FC" w:rsidRDefault="00ED35F8" w:rsidP="006B10FA">
      <w:pPr>
        <w:pStyle w:val="Judul1"/>
        <w:jc w:val="center"/>
        <w:rPr>
          <w:b/>
          <w:bCs/>
          <w:lang w:val="id-ID"/>
        </w:rPr>
      </w:pPr>
      <w:r w:rsidRPr="00E752FC">
        <w:rPr>
          <w:rFonts w:asciiTheme="majorBidi" w:hAnsiTheme="majorBidi"/>
          <w:b/>
          <w:bCs/>
          <w:color w:val="auto"/>
          <w:sz w:val="24"/>
          <w:szCs w:val="24"/>
          <w:lang w:val="id-ID"/>
        </w:rPr>
        <w:t>Abstract</w:t>
      </w:r>
    </w:p>
    <w:p w14:paraId="0FB16161" w14:textId="40E88A97" w:rsidR="00ED35F8" w:rsidRPr="00ED35F8" w:rsidRDefault="00835F3E" w:rsidP="00835F3E">
      <w:pPr>
        <w:spacing w:after="120"/>
        <w:ind w:left="567" w:right="569"/>
        <w:jc w:val="both"/>
        <w:rPr>
          <w:i/>
          <w:iCs/>
        </w:rPr>
      </w:pPr>
      <w:r w:rsidRPr="00835F3E">
        <w:rPr>
          <w:i/>
          <w:iCs/>
        </w:rPr>
        <w:t xml:space="preserve">Qiṣāṣ is one of the rulings found in pre-Islamic religions, as stated in the Qur'an. Al-Maidah: 32-33, the intersection of intertext with previous holy books is very visible. However, the interpretation of scholars has not given a proportional portion in reading the intertext, while the idea of orientalist intertextual reading creates a gap with ulūm al-Qur'an which has implications for the meaning of the verse. Based on the hypothesis that the application of 'ulūm al-Qur'ān in intertextual reading has significance to the meaning of the verse, this article is presented as a </w:t>
      </w:r>
      <w:bookmarkStart w:id="1" w:name="_Hlk190370062"/>
      <w:r w:rsidRPr="00835F3E">
        <w:rPr>
          <w:i/>
          <w:iCs/>
        </w:rPr>
        <w:t>reinterpretation of the concept of qiṣāṣ in Qs. Al-Maidah: 32-33 with an Intertextual approach</w:t>
      </w:r>
      <w:bookmarkEnd w:id="1"/>
      <w:r w:rsidRPr="00835F3E">
        <w:rPr>
          <w:i/>
          <w:iCs/>
        </w:rPr>
        <w:t>. As a literature review, the primary source is Qs. Al-Maidah: 32-33 will be examined through secondary sources in the form of interpretations of scholars and orientalists, some writings sourced from books and journals are used to strengthen the analysis. This article uses the Miles and Huberman qualitative data analysis method, the interpretive data is selected based on its relevance to Intertextual reading, then presented descriptively and analysed to reveal its characteristics. As the final stage, the results of the analysis are concluded to prove the hypothesis of this research. This article proves that the application of 'ulūm al-Qur'ān in the intertextual reading of Qs. Al-Maidah: 32-33 shows a synchronic function that relates to the Jews in Medina, as well as serves as an affirmator and corrector of the qiṣāṣ law found in previous books. In addition, the reinterpretation of Qs. Al-Maidah: 32 shows the meaning that already exists in the Misnah.</w:t>
      </w:r>
    </w:p>
    <w:p w14:paraId="22F185C8" w14:textId="0BFC4421" w:rsidR="00ED35F8" w:rsidRPr="00E670DD" w:rsidRDefault="00ED35F8" w:rsidP="005C28F7">
      <w:pPr>
        <w:ind w:left="567" w:right="569"/>
        <w:jc w:val="both"/>
        <w:rPr>
          <w:lang w:val="id-ID"/>
        </w:rPr>
      </w:pPr>
      <w:r w:rsidRPr="003B515A">
        <w:rPr>
          <w:b/>
        </w:rPr>
        <w:t>Keywords</w:t>
      </w:r>
      <w:r w:rsidRPr="00ED35F8">
        <w:t>:</w:t>
      </w:r>
      <w:r w:rsidR="005C28F7">
        <w:rPr>
          <w:i/>
          <w:iCs/>
        </w:rPr>
        <w:t xml:space="preserve"> Islami</w:t>
      </w:r>
      <w:r w:rsidR="0047047B">
        <w:rPr>
          <w:i/>
          <w:iCs/>
        </w:rPr>
        <w:t>c</w:t>
      </w:r>
      <w:r w:rsidR="005C28F7">
        <w:rPr>
          <w:i/>
          <w:iCs/>
        </w:rPr>
        <w:t xml:space="preserve"> Scholars; Orientalits; Elaborative Paradigm;</w:t>
      </w:r>
      <w:r w:rsidR="00835F3E" w:rsidRPr="00835F3E">
        <w:rPr>
          <w:i/>
        </w:rPr>
        <w:t xml:space="preserve"> Intertextual </w:t>
      </w:r>
      <w:r w:rsidR="005C28F7">
        <w:rPr>
          <w:i/>
        </w:rPr>
        <w:t>Reading</w:t>
      </w:r>
      <w:r w:rsidR="00835F3E" w:rsidRPr="00835F3E">
        <w:rPr>
          <w:i/>
        </w:rPr>
        <w:t>; Qiṣāṣ Concept; Qs. Al-Maidah: 32-33</w:t>
      </w:r>
    </w:p>
    <w:p w14:paraId="26A5FE55" w14:textId="77777777" w:rsidR="0047057A" w:rsidRDefault="0047057A" w:rsidP="00A77C82">
      <w:pPr>
        <w:spacing w:line="360" w:lineRule="auto"/>
        <w:jc w:val="center"/>
        <w:rPr>
          <w:b/>
          <w:bCs/>
          <w:lang w:val="id-ID"/>
        </w:rPr>
      </w:pPr>
    </w:p>
    <w:p w14:paraId="491AD0F4" w14:textId="77777777" w:rsidR="00E769E2" w:rsidRPr="006B10FA" w:rsidRDefault="00E769E2" w:rsidP="006B10FA">
      <w:pPr>
        <w:pStyle w:val="Judul1"/>
        <w:jc w:val="center"/>
        <w:rPr>
          <w:rFonts w:asciiTheme="majorBidi" w:hAnsiTheme="majorBidi"/>
          <w:b/>
          <w:bCs/>
          <w:color w:val="auto"/>
          <w:sz w:val="24"/>
          <w:szCs w:val="24"/>
          <w:lang w:val="id-ID"/>
        </w:rPr>
      </w:pPr>
      <w:r w:rsidRPr="006B10FA">
        <w:rPr>
          <w:rFonts w:asciiTheme="majorBidi" w:hAnsiTheme="majorBidi"/>
          <w:b/>
          <w:bCs/>
          <w:color w:val="auto"/>
          <w:sz w:val="24"/>
          <w:szCs w:val="24"/>
          <w:lang w:val="id-ID"/>
        </w:rPr>
        <w:t>Abstra</w:t>
      </w:r>
      <w:r w:rsidR="00A77C82" w:rsidRPr="006B10FA">
        <w:rPr>
          <w:rFonts w:asciiTheme="majorBidi" w:hAnsiTheme="majorBidi"/>
          <w:b/>
          <w:bCs/>
          <w:color w:val="auto"/>
          <w:sz w:val="24"/>
          <w:szCs w:val="24"/>
          <w:lang w:val="id-ID"/>
        </w:rPr>
        <w:t>k</w:t>
      </w:r>
    </w:p>
    <w:p w14:paraId="24CF04D2" w14:textId="2E1B8663" w:rsidR="00E769E2" w:rsidRPr="00A77C82" w:rsidRDefault="00835F3E" w:rsidP="00835F3E">
      <w:pPr>
        <w:spacing w:after="120"/>
        <w:ind w:left="567" w:right="569"/>
        <w:jc w:val="both"/>
        <w:rPr>
          <w:i/>
          <w:iCs/>
          <w:lang w:val="fi-FI"/>
        </w:rPr>
      </w:pPr>
      <w:r w:rsidRPr="00835F3E">
        <w:rPr>
          <w:rFonts w:cs="Traditional Arabic"/>
          <w:bCs/>
          <w:i/>
          <w:iCs/>
          <w:szCs w:val="36"/>
        </w:rPr>
        <w:t xml:space="preserve">Qiṣāṣ termasuk diantara hukum yang terdapat dalam agama sebelum Islam, dalam Qs. Al-Maidah: 32-33 irisan interteks dengan kitab-kitab suci terdahulu sangat tampak. Akan tetapi penafsiran ulama belum memberi porsi yang proporsional dalam pembacaan interteks, sedangkan gagasan pembacaan intertekstual orientalis menciptakan </w:t>
      </w:r>
      <w:r w:rsidRPr="00835F3E">
        <w:rPr>
          <w:rFonts w:cs="Traditional Arabic"/>
          <w:bCs/>
          <w:i/>
          <w:iCs/>
          <w:szCs w:val="36"/>
        </w:rPr>
        <w:lastRenderedPageBreak/>
        <w:t>gap dengan ulūm al-Qur'an yang berimplikasi pada pemaknaan ayat. Berdasarkan hipotesis bahwa penerapan 'ulūm al-Qur'ān dalam pembacaan intertekstual memiliki signifikansi terhadap pemaknaan ayat, maka artikel ini hadir sebagai reinterpretasi konsep qiṣāṣ dalam Qs. Al-Maidah: 32-33 dengan pendekatan Intertekstual. Sebagai kajian literatur, sumber primer berupa Qs. Al-Maidah: 32-33 akan ditelaah melalui sumber sekunder berupa penafsiran ulama dan orientalis, beberapa tulisan yang bersumber dari buku dan jurnal digunakan untuk memperkuat analisa. Artikel ini menggunakan metode analisis data kualitatif Miles dan Huberman, data-data tafsir diseleksi berdasarkan keterkaitannya dengan pembacaan Intertekstual, kemudian dipaparkan secara deskriptif dan dianalisis untuk menampakkan karakteristiknya. Sebagai tahap akhir, hasil analisa disimpulkan untuk membuktikan hipotesis penelitian ini. Artikel ini membuktikan bahwa penerapan 'ulūm al-Qur'ān dalam pembacaan intertekstual pada Qs. Al-Maidah: 32-33 menunjukkan fungsi sinkronik yang berhubungan dengan orang Yahudi di Madinah, sekaligus berfungsi sebagai afirmator dan korektor hukum qiṣāṣ yang terdapat pada kitab-kitab terdahulu. Selain itu, reinterpretasi pada Qs. Al-Maidah: 32 menunjukkan adanya pemaknaan yang telah ada dalam Misnah.</w:t>
      </w:r>
      <w:r w:rsidR="00A77C82" w:rsidRPr="00A77C82">
        <w:rPr>
          <w:i/>
          <w:iCs/>
          <w:lang w:val="id-ID"/>
        </w:rPr>
        <w:t xml:space="preserve"> </w:t>
      </w:r>
    </w:p>
    <w:p w14:paraId="34F8C082" w14:textId="67EF925E" w:rsidR="00DC4BA3" w:rsidRPr="003B515A" w:rsidRDefault="00E769E2" w:rsidP="00835F3E">
      <w:pPr>
        <w:ind w:left="567" w:right="569"/>
        <w:jc w:val="both"/>
        <w:rPr>
          <w:rFonts w:asciiTheme="majorBidi" w:hAnsiTheme="majorBidi" w:cstheme="majorBidi"/>
          <w:i/>
        </w:rPr>
      </w:pPr>
      <w:r w:rsidRPr="00FF1ED6">
        <w:rPr>
          <w:b/>
          <w:bCs/>
          <w:lang w:val="id-ID"/>
        </w:rPr>
        <w:t>Kata Kunci</w:t>
      </w:r>
      <w:r>
        <w:rPr>
          <w:lang w:val="id-ID"/>
        </w:rPr>
        <w:t xml:space="preserve">: </w:t>
      </w:r>
      <w:r w:rsidR="0047047B">
        <w:rPr>
          <w:i/>
          <w:lang w:val="id-ID"/>
        </w:rPr>
        <w:t xml:space="preserve">Ulama’; Orientalis; Paradigma Elaboratif; Pembacaan </w:t>
      </w:r>
      <w:r w:rsidR="00835F3E" w:rsidRPr="00835F3E">
        <w:rPr>
          <w:i/>
          <w:lang w:val="id-ID"/>
        </w:rPr>
        <w:t xml:space="preserve">Intertekstual; </w:t>
      </w:r>
      <w:r w:rsidR="0047047B">
        <w:rPr>
          <w:i/>
          <w:lang w:val="id-ID"/>
        </w:rPr>
        <w:t xml:space="preserve">Konsep </w:t>
      </w:r>
      <w:r w:rsidR="0047047B" w:rsidRPr="00835F3E">
        <w:rPr>
          <w:rFonts w:cs="Traditional Arabic"/>
          <w:bCs/>
          <w:i/>
          <w:iCs/>
          <w:szCs w:val="36"/>
        </w:rPr>
        <w:t>Qiṣāṣ</w:t>
      </w:r>
      <w:r w:rsidR="0047047B">
        <w:rPr>
          <w:rFonts w:cs="Traditional Arabic"/>
          <w:bCs/>
          <w:i/>
          <w:iCs/>
          <w:szCs w:val="36"/>
        </w:rPr>
        <w:t>;</w:t>
      </w:r>
      <w:r w:rsidR="0047047B">
        <w:rPr>
          <w:i/>
          <w:lang w:val="id-ID"/>
        </w:rPr>
        <w:t xml:space="preserve"> </w:t>
      </w:r>
      <w:r w:rsidR="00835F3E" w:rsidRPr="00835F3E">
        <w:rPr>
          <w:i/>
          <w:lang w:val="id-ID"/>
        </w:rPr>
        <w:t>Qs. Al-Maidah: 32-33</w:t>
      </w:r>
    </w:p>
    <w:p w14:paraId="45FE1B5C" w14:textId="77777777" w:rsidR="00B128C5" w:rsidRPr="00091EC2" w:rsidRDefault="00B128C5" w:rsidP="00091EC2">
      <w:pPr>
        <w:spacing w:line="360" w:lineRule="auto"/>
        <w:rPr>
          <w:rFonts w:cs="Traditional Arabic"/>
          <w:bCs/>
          <w:szCs w:val="36"/>
          <w:lang w:val="id-ID"/>
        </w:rPr>
      </w:pPr>
    </w:p>
    <w:p w14:paraId="406C73FC" w14:textId="77777777" w:rsidR="00A77C82" w:rsidRDefault="00A77C82" w:rsidP="00AD51C0">
      <w:pPr>
        <w:spacing w:line="360" w:lineRule="auto"/>
        <w:jc w:val="both"/>
        <w:rPr>
          <w:rFonts w:cs="Traditional Arabic"/>
          <w:b/>
          <w:szCs w:val="36"/>
          <w:lang w:val="id-ID"/>
        </w:rPr>
        <w:sectPr w:rsidR="00A77C82" w:rsidSect="00A77C82">
          <w:headerReference w:type="default" r:id="rId10"/>
          <w:footerReference w:type="even" r:id="rId11"/>
          <w:footerReference w:type="default" r:id="rId12"/>
          <w:footerReference w:type="first" r:id="rId13"/>
          <w:pgSz w:w="11909" w:h="16834" w:code="9"/>
          <w:pgMar w:top="2268" w:right="1701" w:bottom="1701" w:left="2268" w:header="1196" w:footer="907" w:gutter="0"/>
          <w:cols w:space="720"/>
          <w:titlePg/>
          <w:docGrid w:linePitch="360"/>
        </w:sectPr>
      </w:pPr>
    </w:p>
    <w:p w14:paraId="1BAA630A" w14:textId="593BB5BC" w:rsidR="00B128C5" w:rsidRPr="00B128C5" w:rsidRDefault="006B10FA" w:rsidP="00AD51C0">
      <w:pPr>
        <w:spacing w:line="360" w:lineRule="auto"/>
        <w:jc w:val="both"/>
        <w:rPr>
          <w:rFonts w:cs="Traditional Arabic"/>
          <w:b/>
          <w:szCs w:val="36"/>
          <w:lang w:val="id-ID"/>
        </w:rPr>
      </w:pPr>
      <w:r>
        <w:rPr>
          <w:rFonts w:cs="Traditional Arabic"/>
          <w:b/>
          <w:szCs w:val="36"/>
          <w:lang w:val="id-ID"/>
        </w:rPr>
        <w:t>Introduction</w:t>
      </w:r>
    </w:p>
    <w:p w14:paraId="5C556ABB" w14:textId="763D4B0F" w:rsidR="00BF4C09" w:rsidRDefault="00BF4C09" w:rsidP="00074ED8">
      <w:pPr>
        <w:spacing w:line="360" w:lineRule="auto"/>
        <w:ind w:firstLine="567"/>
        <w:jc w:val="both"/>
        <w:rPr>
          <w:rFonts w:cs="Traditional Arabic"/>
          <w:szCs w:val="36"/>
        </w:rPr>
      </w:pPr>
      <w:r w:rsidRPr="00BF4C09">
        <w:rPr>
          <w:rFonts w:cs="Traditional Arabic"/>
          <w:szCs w:val="36"/>
        </w:rPr>
        <w:t xml:space="preserve">QS al-Maidah: 32-33 is a verse that explains the concept of qiṣāṣ, in which there is a narration </w:t>
      </w:r>
      <w:r w:rsidRPr="00074ED8">
        <w:rPr>
          <w:rFonts w:ascii="Times New Arabic" w:hAnsi="Times New Arabic" w:cs="Traditional Arabic"/>
          <w:i/>
          <w:iCs/>
          <w:szCs w:val="36"/>
        </w:rPr>
        <w:t>katabna</w:t>
      </w:r>
      <w:r w:rsidR="00074ED8">
        <w:rPr>
          <w:rFonts w:ascii="Times New Arabic" w:hAnsi="Times New Arabic" w:cs="Traditional Arabic"/>
          <w:i/>
          <w:iCs/>
          <w:szCs w:val="36"/>
        </w:rPr>
        <w:t>&gt;</w:t>
      </w:r>
      <w:r w:rsidRPr="00074ED8">
        <w:rPr>
          <w:rFonts w:ascii="Times New Arabic" w:hAnsi="Times New Arabic" w:cs="Traditional Arabic"/>
          <w:i/>
          <w:iCs/>
          <w:szCs w:val="36"/>
        </w:rPr>
        <w:t xml:space="preserve"> ‘ala</w:t>
      </w:r>
      <w:r w:rsidR="00074ED8">
        <w:rPr>
          <w:rFonts w:ascii="Times New Arabic" w:hAnsi="Times New Arabic" w:cs="Traditional Arabic"/>
          <w:i/>
          <w:iCs/>
          <w:szCs w:val="36"/>
        </w:rPr>
        <w:t>&gt;</w:t>
      </w:r>
      <w:r w:rsidRPr="00074ED8">
        <w:rPr>
          <w:rFonts w:ascii="Times New Arabic" w:hAnsi="Times New Arabic" w:cs="Traditional Arabic"/>
          <w:i/>
          <w:iCs/>
          <w:szCs w:val="36"/>
        </w:rPr>
        <w:t xml:space="preserve"> Bani</w:t>
      </w:r>
      <w:r w:rsidR="00074ED8">
        <w:rPr>
          <w:rFonts w:ascii="Times New Arabic" w:hAnsi="Times New Arabic" w:cs="Traditional Arabic"/>
          <w:i/>
          <w:iCs/>
          <w:szCs w:val="36"/>
        </w:rPr>
        <w:t>&gt;</w:t>
      </w:r>
      <w:r w:rsidRPr="00074ED8">
        <w:rPr>
          <w:rFonts w:ascii="Times New Arabic" w:hAnsi="Times New Arabic" w:cs="Traditional Arabic"/>
          <w:i/>
          <w:iCs/>
          <w:szCs w:val="36"/>
        </w:rPr>
        <w:t xml:space="preserve"> Isra</w:t>
      </w:r>
      <w:r w:rsidR="00074ED8">
        <w:rPr>
          <w:rFonts w:ascii="Times New Arabic" w:hAnsi="Times New Arabic" w:cs="Traditional Arabic"/>
          <w:i/>
          <w:iCs/>
          <w:szCs w:val="36"/>
        </w:rPr>
        <w:t>&gt;</w:t>
      </w:r>
      <w:r w:rsidR="00074ED8" w:rsidRPr="00074ED8">
        <w:rPr>
          <w:rFonts w:ascii="Times New Arabic" w:hAnsi="Times New Arabic" w:cs="Traditional Arabic"/>
          <w:i/>
          <w:iCs/>
          <w:szCs w:val="36"/>
        </w:rPr>
        <w:t>i</w:t>
      </w:r>
      <w:r w:rsidR="00074ED8">
        <w:rPr>
          <w:rFonts w:ascii="Times New Arabic" w:hAnsi="Times New Arabic" w:cs="Traditional Arabic"/>
          <w:i/>
          <w:iCs/>
          <w:szCs w:val="36"/>
        </w:rPr>
        <w:t>&gt;</w:t>
      </w:r>
      <w:r w:rsidRPr="00074ED8">
        <w:rPr>
          <w:rFonts w:ascii="Times New Arabic" w:hAnsi="Times New Arabic" w:cs="Traditional Arabic"/>
          <w:i/>
          <w:iCs/>
          <w:szCs w:val="36"/>
        </w:rPr>
        <w:t>l</w:t>
      </w:r>
      <w:r w:rsidRPr="00074ED8">
        <w:rPr>
          <w:rFonts w:ascii="Times New Arabic" w:hAnsi="Times New Arabic" w:cs="Traditional Arabic"/>
          <w:szCs w:val="36"/>
        </w:rPr>
        <w:t xml:space="preserve"> </w:t>
      </w:r>
      <w:r w:rsidRPr="00BF4C09">
        <w:rPr>
          <w:rFonts w:cs="Traditional Arabic"/>
          <w:szCs w:val="36"/>
        </w:rPr>
        <w:t>/ We set for the Children of Israel, indicating that the information is found in Biblical sources. The narration also confirms that the Qur'an is a scripture that is connected to the scriptures revealed to the previous prophets. Hanock and Putrawan</w:t>
      </w:r>
      <w:r w:rsidRPr="006F5102">
        <w:rPr>
          <w:rStyle w:val="ReferensiCatatanKaki"/>
          <w:szCs w:val="32"/>
          <w:lang w:val="id-ID"/>
        </w:rPr>
        <w:footnoteReference w:id="1"/>
      </w:r>
      <w:r w:rsidRPr="00BF4C09">
        <w:rPr>
          <w:rFonts w:cs="Traditional Arabic"/>
          <w:szCs w:val="36"/>
        </w:rPr>
        <w:t xml:space="preserve"> explain this connectivity </w:t>
      </w:r>
      <w:r w:rsidRPr="00BF4C09">
        <w:rPr>
          <w:rFonts w:cs="Traditional Arabic"/>
          <w:szCs w:val="36"/>
        </w:rPr>
        <w:t>by mentioning the similarities between the Biblical sources and the Qur'an. As Abrahamic religions, the holy books have similarities in substance and ideas, especially with regard to monotheist theology. The Qur'an itself affirms its position on the previous scriptures as a scripture that affirms and corrects the previous scriptures.</w:t>
      </w:r>
      <w:r w:rsidRPr="006F5102">
        <w:rPr>
          <w:rStyle w:val="ReferensiCatatanKaki"/>
          <w:szCs w:val="32"/>
          <w:lang w:val="id-ID"/>
        </w:rPr>
        <w:footnoteReference w:id="2"/>
      </w:r>
      <w:r>
        <w:rPr>
          <w:rFonts w:cs="Traditional Arabic"/>
          <w:szCs w:val="36"/>
        </w:rPr>
        <w:t xml:space="preserve"> </w:t>
      </w:r>
    </w:p>
    <w:p w14:paraId="726C2E6E" w14:textId="78475BFA" w:rsidR="00ED1E3D" w:rsidRDefault="00056C54" w:rsidP="00BF4C09">
      <w:pPr>
        <w:spacing w:line="360" w:lineRule="auto"/>
        <w:ind w:firstLine="567"/>
        <w:jc w:val="both"/>
        <w:rPr>
          <w:rFonts w:cs="Traditional Arabic"/>
          <w:szCs w:val="36"/>
        </w:rPr>
      </w:pPr>
      <w:r w:rsidRPr="00056C54">
        <w:rPr>
          <w:rFonts w:cs="Traditional Arabic"/>
          <w:szCs w:val="36"/>
        </w:rPr>
        <w:lastRenderedPageBreak/>
        <w:t>Based on these connections, it shows that intertextual reading of the Qur'an has existed since the generation of the Companions, such as Abdullah ibn Salām and Ka'b al-Akhbār.</w:t>
      </w:r>
      <w:r w:rsidRPr="006F5102">
        <w:rPr>
          <w:rStyle w:val="ReferensiCatatanKaki"/>
          <w:szCs w:val="32"/>
          <w:lang w:val="id-ID"/>
        </w:rPr>
        <w:footnoteReference w:id="3"/>
      </w:r>
      <w:r w:rsidRPr="00056C54">
        <w:rPr>
          <w:rFonts w:cs="Traditional Arabic"/>
          <w:szCs w:val="36"/>
        </w:rPr>
        <w:t xml:space="preserve"> Intertextual reading was also adopted in the books of tafsir that came after, such as Muqātil ibn Sulaymān Ibn Jarīr al-Ṭabari.</w:t>
      </w:r>
      <w:r w:rsidRPr="006F5102">
        <w:rPr>
          <w:rStyle w:val="ReferensiCatatanKaki"/>
          <w:szCs w:val="32"/>
          <w:lang w:val="id-ID"/>
        </w:rPr>
        <w:footnoteReference w:id="4"/>
      </w:r>
      <w:r w:rsidRPr="00056C54">
        <w:rPr>
          <w:rFonts w:cs="Traditional Arabic"/>
          <w:szCs w:val="36"/>
        </w:rPr>
        <w:t xml:space="preserve"> This reading is used by the mufasir to find out information that is not contained </w:t>
      </w:r>
      <w:r w:rsidRPr="00056C54">
        <w:rPr>
          <w:rFonts w:cs="Traditional Arabic"/>
          <w:szCs w:val="36"/>
        </w:rPr>
        <w:t xml:space="preserve">in the Qur'an textually but is found in previous </w:t>
      </w:r>
      <w:r w:rsidR="00074ED8">
        <w:rPr>
          <w:rFonts w:cs="Traditional Arabic"/>
          <w:szCs w:val="36"/>
        </w:rPr>
        <w:t>scriptures</w:t>
      </w:r>
      <w:r w:rsidRPr="00056C54">
        <w:rPr>
          <w:rFonts w:cs="Traditional Arabic"/>
          <w:szCs w:val="36"/>
        </w:rPr>
        <w:t>.</w:t>
      </w:r>
      <w:r w:rsidRPr="006F5102">
        <w:rPr>
          <w:rStyle w:val="ReferensiCatatanKaki"/>
          <w:szCs w:val="32"/>
          <w:lang w:val="id-ID"/>
        </w:rPr>
        <w:footnoteReference w:id="5"/>
      </w:r>
      <w:r w:rsidRPr="00056C54">
        <w:rPr>
          <w:rFonts w:cs="Traditional Arabic"/>
          <w:szCs w:val="36"/>
        </w:rPr>
        <w:t xml:space="preserve"> </w:t>
      </w:r>
    </w:p>
    <w:p w14:paraId="6EA40392" w14:textId="265C7D11" w:rsidR="00B128C5" w:rsidRDefault="00056C54" w:rsidP="00BF4C09">
      <w:pPr>
        <w:spacing w:line="360" w:lineRule="auto"/>
        <w:ind w:firstLine="567"/>
        <w:jc w:val="both"/>
        <w:rPr>
          <w:rFonts w:cs="Traditional Arabic"/>
          <w:szCs w:val="36"/>
          <w:lang w:val="sv-SE"/>
        </w:rPr>
      </w:pPr>
      <w:r w:rsidRPr="00056C54">
        <w:rPr>
          <w:rFonts w:cs="Traditional Arabic"/>
          <w:szCs w:val="36"/>
        </w:rPr>
        <w:t xml:space="preserve">Even with the narration of </w:t>
      </w:r>
      <w:r w:rsidR="00074ED8" w:rsidRPr="00074ED8">
        <w:rPr>
          <w:rFonts w:ascii="Times New Arabic" w:hAnsi="Times New Arabic" w:cs="Traditional Arabic"/>
          <w:i/>
          <w:iCs/>
          <w:szCs w:val="36"/>
        </w:rPr>
        <w:t>katabna</w:t>
      </w:r>
      <w:r w:rsidR="00074ED8">
        <w:rPr>
          <w:rFonts w:ascii="Times New Arabic" w:hAnsi="Times New Arabic" w:cs="Traditional Arabic"/>
          <w:i/>
          <w:iCs/>
          <w:szCs w:val="36"/>
        </w:rPr>
        <w:t>&gt;</w:t>
      </w:r>
      <w:r w:rsidR="00074ED8" w:rsidRPr="00074ED8">
        <w:rPr>
          <w:rFonts w:ascii="Times New Arabic" w:hAnsi="Times New Arabic" w:cs="Traditional Arabic"/>
          <w:i/>
          <w:iCs/>
          <w:szCs w:val="36"/>
        </w:rPr>
        <w:t xml:space="preserve"> ‘ala</w:t>
      </w:r>
      <w:r w:rsidR="00074ED8">
        <w:rPr>
          <w:rFonts w:ascii="Times New Arabic" w:hAnsi="Times New Arabic" w:cs="Traditional Arabic"/>
          <w:i/>
          <w:iCs/>
          <w:szCs w:val="36"/>
        </w:rPr>
        <w:t>&gt;</w:t>
      </w:r>
      <w:r w:rsidR="00074ED8" w:rsidRPr="00074ED8">
        <w:rPr>
          <w:rFonts w:ascii="Times New Arabic" w:hAnsi="Times New Arabic" w:cs="Traditional Arabic"/>
          <w:i/>
          <w:iCs/>
          <w:szCs w:val="36"/>
        </w:rPr>
        <w:t xml:space="preserve"> Bani</w:t>
      </w:r>
      <w:r w:rsidR="00074ED8">
        <w:rPr>
          <w:rFonts w:ascii="Times New Arabic" w:hAnsi="Times New Arabic" w:cs="Traditional Arabic"/>
          <w:i/>
          <w:iCs/>
          <w:szCs w:val="36"/>
        </w:rPr>
        <w:t>&gt;</w:t>
      </w:r>
      <w:r w:rsidR="00074ED8" w:rsidRPr="00074ED8">
        <w:rPr>
          <w:rFonts w:ascii="Times New Arabic" w:hAnsi="Times New Arabic" w:cs="Traditional Arabic"/>
          <w:i/>
          <w:iCs/>
          <w:szCs w:val="36"/>
        </w:rPr>
        <w:t xml:space="preserve"> Isra</w:t>
      </w:r>
      <w:r w:rsidR="00074ED8">
        <w:rPr>
          <w:rFonts w:ascii="Times New Arabic" w:hAnsi="Times New Arabic" w:cs="Traditional Arabic"/>
          <w:i/>
          <w:iCs/>
          <w:szCs w:val="36"/>
        </w:rPr>
        <w:t>&gt;</w:t>
      </w:r>
      <w:r w:rsidR="00074ED8" w:rsidRPr="00074ED8">
        <w:rPr>
          <w:rFonts w:ascii="Times New Arabic" w:hAnsi="Times New Arabic" w:cs="Traditional Arabic"/>
          <w:i/>
          <w:iCs/>
          <w:szCs w:val="36"/>
        </w:rPr>
        <w:t>i</w:t>
      </w:r>
      <w:r w:rsidR="00074ED8">
        <w:rPr>
          <w:rFonts w:ascii="Times New Arabic" w:hAnsi="Times New Arabic" w:cs="Traditional Arabic"/>
          <w:i/>
          <w:iCs/>
          <w:szCs w:val="36"/>
        </w:rPr>
        <w:t>&gt;</w:t>
      </w:r>
      <w:r w:rsidR="00074ED8" w:rsidRPr="00074ED8">
        <w:rPr>
          <w:rFonts w:ascii="Times New Arabic" w:hAnsi="Times New Arabic" w:cs="Traditional Arabic"/>
          <w:i/>
          <w:iCs/>
          <w:szCs w:val="36"/>
        </w:rPr>
        <w:t>l</w:t>
      </w:r>
      <w:r w:rsidR="00074ED8" w:rsidRPr="00074ED8">
        <w:rPr>
          <w:rFonts w:ascii="Times New Arabic" w:hAnsi="Times New Arabic" w:cs="Traditional Arabic"/>
          <w:szCs w:val="36"/>
        </w:rPr>
        <w:t xml:space="preserve"> </w:t>
      </w:r>
      <w:r w:rsidRPr="00056C54">
        <w:rPr>
          <w:rFonts w:cs="Traditional Arabic"/>
          <w:szCs w:val="36"/>
        </w:rPr>
        <w:t>- as in QS al-Maidah: 32-which clearly shows the connection, not all mufasirs do intertextual reading. According to Gabriel S. Reynolds, this is due to Muslim scholars' belief in the existence of distortions/changes that occurred in previous holy books.</w:t>
      </w:r>
      <w:r w:rsidRPr="006F5102">
        <w:rPr>
          <w:rStyle w:val="ReferensiCatatanKaki"/>
          <w:szCs w:val="32"/>
          <w:lang w:val="id-ID"/>
        </w:rPr>
        <w:footnoteReference w:id="6"/>
      </w:r>
    </w:p>
    <w:p w14:paraId="0E134605" w14:textId="77777777" w:rsidR="00ED1E3D" w:rsidRDefault="00056C54" w:rsidP="007D720A">
      <w:pPr>
        <w:spacing w:line="360" w:lineRule="auto"/>
        <w:ind w:firstLine="567"/>
        <w:jc w:val="both"/>
        <w:rPr>
          <w:rFonts w:cs="Traditional Arabic"/>
          <w:szCs w:val="36"/>
          <w:lang w:val="sv-SE"/>
        </w:rPr>
      </w:pPr>
      <w:r w:rsidRPr="00056C54">
        <w:rPr>
          <w:rFonts w:cs="Traditional Arabic"/>
          <w:szCs w:val="36"/>
          <w:lang w:val="sv-SE"/>
        </w:rPr>
        <w:t>Intertextual reading is also performed by orientalists with two tendencies: first, those who tend to decontextualise the Qur'an</w:t>
      </w:r>
      <w:r w:rsidRPr="006F5102">
        <w:rPr>
          <w:rStyle w:val="ReferensiCatatanKaki"/>
          <w:szCs w:val="32"/>
          <w:lang w:val="id-ID"/>
        </w:rPr>
        <w:footnoteReference w:id="7"/>
      </w:r>
      <w:r w:rsidRPr="00056C54">
        <w:rPr>
          <w:rFonts w:cs="Traditional Arabic"/>
          <w:szCs w:val="36"/>
          <w:lang w:val="sv-SE"/>
        </w:rPr>
        <w:t xml:space="preserve"> and consider it as an imitation of the Bible</w:t>
      </w:r>
      <w:r w:rsidRPr="006F5102">
        <w:rPr>
          <w:rStyle w:val="ReferensiCatatanKaki"/>
          <w:szCs w:val="32"/>
          <w:lang w:val="id-ID"/>
        </w:rPr>
        <w:footnoteReference w:id="8"/>
      </w:r>
      <w:r w:rsidRPr="00056C54">
        <w:rPr>
          <w:rFonts w:cs="Traditional Arabic"/>
          <w:szCs w:val="36"/>
          <w:lang w:val="sv-SE"/>
        </w:rPr>
        <w:t xml:space="preserve">; second, those who tend to </w:t>
      </w:r>
      <w:r w:rsidRPr="00056C54">
        <w:rPr>
          <w:rFonts w:cs="Traditional Arabic"/>
          <w:szCs w:val="36"/>
          <w:lang w:val="sv-SE"/>
        </w:rPr>
        <w:lastRenderedPageBreak/>
        <w:t>examine the Qur'an from a literary and historical perspective and show how the Qur'an reappears information from the Biblical tradition.</w:t>
      </w:r>
      <w:r w:rsidRPr="006F5102">
        <w:rPr>
          <w:rStyle w:val="ReferensiCatatanKaki"/>
          <w:szCs w:val="32"/>
          <w:lang w:val="id-ID"/>
        </w:rPr>
        <w:footnoteReference w:id="9"/>
      </w:r>
      <w:r w:rsidRPr="00056C54">
        <w:rPr>
          <w:rFonts w:cs="Traditional Arabic"/>
          <w:szCs w:val="36"/>
          <w:lang w:val="sv-SE"/>
        </w:rPr>
        <w:t xml:space="preserve"> </w:t>
      </w:r>
    </w:p>
    <w:p w14:paraId="2529E5F6" w14:textId="722199B9" w:rsidR="007D720A" w:rsidRDefault="00056C54" w:rsidP="007D720A">
      <w:pPr>
        <w:spacing w:line="360" w:lineRule="auto"/>
        <w:ind w:firstLine="567"/>
        <w:jc w:val="both"/>
        <w:rPr>
          <w:rFonts w:cs="Traditional Arabic"/>
          <w:szCs w:val="36"/>
        </w:rPr>
      </w:pPr>
      <w:r w:rsidRPr="00056C54">
        <w:rPr>
          <w:rFonts w:cs="Traditional Arabic"/>
          <w:szCs w:val="36"/>
          <w:lang w:val="sv-SE"/>
        </w:rPr>
        <w:t>In relation to QS al-Maidah: 32, Abraham Geiger</w:t>
      </w:r>
      <w:r w:rsidRPr="006F5102">
        <w:rPr>
          <w:szCs w:val="32"/>
          <w:vertAlign w:val="superscript"/>
          <w:lang w:val="id-ID"/>
        </w:rPr>
        <w:footnoteReference w:id="10"/>
      </w:r>
      <w:r w:rsidRPr="00056C54">
        <w:rPr>
          <w:rFonts w:cs="Traditional Arabic"/>
          <w:szCs w:val="36"/>
          <w:lang w:val="sv-SE"/>
        </w:rPr>
        <w:t xml:space="preserve"> - as a representative of the first group of orientalists - argues that the verse is not reflectively connected to the Biblical sources, because Muhammad is considered to have misrepresented the source material about Qabil-Habil from the book of Misnah.</w:t>
      </w:r>
      <w:r w:rsidRPr="006F5102">
        <w:rPr>
          <w:rStyle w:val="ReferensiCatatanKaki"/>
          <w:szCs w:val="32"/>
        </w:rPr>
        <w:footnoteReference w:id="11"/>
      </w:r>
      <w:r w:rsidRPr="00056C54">
        <w:rPr>
          <w:rFonts w:cs="Traditional Arabic"/>
          <w:szCs w:val="36"/>
          <w:lang w:val="sv-SE"/>
        </w:rPr>
        <w:t xml:space="preserve"> This opinion was later </w:t>
      </w:r>
      <w:r w:rsidRPr="00056C54">
        <w:rPr>
          <w:rFonts w:cs="Traditional Arabic"/>
          <w:szCs w:val="36"/>
          <w:lang w:val="sv-SE"/>
        </w:rPr>
        <w:t>criticised by Joseph Benzion Witztum</w:t>
      </w:r>
      <w:r w:rsidRPr="006F5102">
        <w:rPr>
          <w:szCs w:val="32"/>
          <w:vertAlign w:val="superscript"/>
          <w:lang w:val="id-ID"/>
        </w:rPr>
        <w:footnoteReference w:id="12"/>
      </w:r>
      <w:r w:rsidRPr="00056C54">
        <w:rPr>
          <w:rFonts w:cs="Traditional Arabic"/>
          <w:szCs w:val="36"/>
          <w:lang w:val="sv-SE"/>
        </w:rPr>
        <w:t>, according to him Geiger was too simplistic in seeing the Qur'anic quotation. In short, it can be said that the Qur'an re-narrates the Misnah source based on the historical context related to the anti-Jewish polemic in Medina. This opinion was later affirmed by Reynolds.</w:t>
      </w:r>
      <w:r w:rsidRPr="00056C54">
        <w:rPr>
          <w:szCs w:val="32"/>
          <w:vertAlign w:val="superscript"/>
          <w:lang w:val="id-ID"/>
        </w:rPr>
        <w:t xml:space="preserve"> </w:t>
      </w:r>
      <w:r w:rsidRPr="006F5102">
        <w:rPr>
          <w:szCs w:val="32"/>
          <w:vertAlign w:val="superscript"/>
          <w:lang w:val="id-ID"/>
        </w:rPr>
        <w:footnoteReference w:id="13"/>
      </w:r>
      <w:r w:rsidRPr="00056C54">
        <w:rPr>
          <w:rFonts w:cs="Traditional Arabic"/>
          <w:szCs w:val="36"/>
          <w:lang w:val="sv-SE"/>
        </w:rPr>
        <w:t xml:space="preserve"> Witztum and Reynolds can be regarded as orientalists with the second tendency.</w:t>
      </w:r>
    </w:p>
    <w:p w14:paraId="5367D3D3" w14:textId="3D9B971A" w:rsidR="007D720A" w:rsidRPr="00306664" w:rsidRDefault="006E6940" w:rsidP="005619AE">
      <w:pPr>
        <w:spacing w:line="360" w:lineRule="auto"/>
        <w:ind w:firstLine="567"/>
        <w:jc w:val="both"/>
        <w:rPr>
          <w:rFonts w:cs="Traditional Arabic"/>
          <w:szCs w:val="36"/>
          <w:lang w:val="sv-SE"/>
        </w:rPr>
      </w:pPr>
      <w:r w:rsidRPr="006E6940">
        <w:rPr>
          <w:rFonts w:cs="Traditional Arabic"/>
          <w:szCs w:val="36"/>
          <w:lang w:val="sv-SE"/>
        </w:rPr>
        <w:t>Michel Cuypers</w:t>
      </w:r>
      <w:r w:rsidRPr="006F5102">
        <w:rPr>
          <w:szCs w:val="32"/>
          <w:vertAlign w:val="superscript"/>
          <w:lang w:val="id-ID"/>
        </w:rPr>
        <w:footnoteReference w:id="14"/>
      </w:r>
      <w:r w:rsidRPr="006E6940">
        <w:rPr>
          <w:rFonts w:cs="Traditional Arabic"/>
          <w:szCs w:val="36"/>
          <w:lang w:val="sv-SE"/>
        </w:rPr>
        <w:t xml:space="preserve"> also performed an intertextual reading on al-Maidah: 32-33, but he has a different conclusion because he took a different approach. Asnawi et al</w:t>
      </w:r>
      <w:r w:rsidRPr="006F5102">
        <w:rPr>
          <w:szCs w:val="32"/>
          <w:vertAlign w:val="superscript"/>
          <w:lang w:val="id-ID"/>
        </w:rPr>
        <w:footnoteReference w:id="15"/>
      </w:r>
      <w:r w:rsidRPr="006E6940">
        <w:rPr>
          <w:rFonts w:cs="Traditional Arabic"/>
          <w:szCs w:val="36"/>
          <w:lang w:val="sv-SE"/>
        </w:rPr>
        <w:t xml:space="preserve"> </w:t>
      </w:r>
      <w:r w:rsidRPr="006E6940">
        <w:rPr>
          <w:rFonts w:cs="Traditional Arabic"/>
          <w:szCs w:val="36"/>
          <w:lang w:val="sv-SE"/>
        </w:rPr>
        <w:lastRenderedPageBreak/>
        <w:t>give an important note on Cuypers' thought, which is that he does not use material sources of hadith as his reference, except in order to strengthen his own opinion. Not only Cuypers, generally the intertextual analyses of orientalists negate the hadith as a source in interpreting the Qur'an.</w:t>
      </w:r>
      <w:r w:rsidRPr="006F5102">
        <w:rPr>
          <w:szCs w:val="32"/>
          <w:vertAlign w:val="superscript"/>
          <w:lang w:val="id-ID"/>
        </w:rPr>
        <w:footnoteReference w:id="16"/>
      </w:r>
      <w:r w:rsidRPr="006E6940">
        <w:rPr>
          <w:rFonts w:cs="Traditional Arabic"/>
          <w:szCs w:val="36"/>
          <w:lang w:val="sv-SE"/>
        </w:rPr>
        <w:t xml:space="preserve"> This is due to their sceptical paradigm in understanding religion</w:t>
      </w:r>
      <w:r w:rsidRPr="006F5102">
        <w:rPr>
          <w:szCs w:val="32"/>
          <w:vertAlign w:val="superscript"/>
          <w:lang w:val="id-ID"/>
        </w:rPr>
        <w:footnoteReference w:id="17"/>
      </w:r>
      <w:r w:rsidRPr="006E6940">
        <w:rPr>
          <w:rFonts w:cs="Traditional Arabic"/>
          <w:szCs w:val="36"/>
          <w:lang w:val="sv-SE"/>
        </w:rPr>
        <w:t xml:space="preserve"> and the problem of codification of hadith which they consider to be full of interests.</w:t>
      </w:r>
      <w:r w:rsidRPr="006F5102">
        <w:rPr>
          <w:szCs w:val="32"/>
          <w:vertAlign w:val="superscript"/>
          <w:lang w:val="id-ID"/>
        </w:rPr>
        <w:footnoteReference w:id="18"/>
      </w:r>
    </w:p>
    <w:p w14:paraId="51362E1A" w14:textId="04E72B5B" w:rsidR="00C5254B" w:rsidRDefault="006E6940" w:rsidP="00545602">
      <w:pPr>
        <w:spacing w:line="360" w:lineRule="auto"/>
        <w:ind w:firstLine="567"/>
        <w:jc w:val="both"/>
        <w:rPr>
          <w:rFonts w:cs="Traditional Arabic"/>
          <w:szCs w:val="36"/>
        </w:rPr>
      </w:pPr>
      <w:r w:rsidRPr="006E6940">
        <w:rPr>
          <w:rFonts w:cs="Traditional Arabic"/>
          <w:szCs w:val="36"/>
          <w:lang w:val="en-GB"/>
        </w:rPr>
        <w:t>The negation of hadith by orientalists has an influence on the intertextual reading and directly affects the understanding of a verse, because hadith has a significant function as a historical and explanatory source of the Qur'an that accompanied its emergence. However, with the lack of intertextual reading done by the mufasir -especially Qs. Al-Maidah: 32-33- which should be an anti-thesis to orientalist interpretations, makes this intertextual discourse unbalanced. Based on this problem, an intertextual reinterpretation of what has been done by orientalists and what has been missed by some Muslim scholars (mufasir) is urgently needed.</w:t>
      </w:r>
    </w:p>
    <w:p w14:paraId="26937D3B" w14:textId="74C11D86" w:rsidR="00A41ACF" w:rsidRDefault="006E6940" w:rsidP="00A8566B">
      <w:pPr>
        <w:spacing w:line="360" w:lineRule="auto"/>
        <w:ind w:firstLine="567"/>
        <w:jc w:val="both"/>
        <w:rPr>
          <w:rFonts w:cs="Traditional Arabic"/>
          <w:szCs w:val="36"/>
          <w:lang w:val="id-ID"/>
        </w:rPr>
      </w:pPr>
      <w:r w:rsidRPr="006E6940">
        <w:rPr>
          <w:rFonts w:cs="Traditional Arabic"/>
          <w:szCs w:val="36"/>
          <w:lang w:val="id-ID"/>
        </w:rPr>
        <w:t xml:space="preserve">This article aims to answer the above problem on the basis of the hypothesis that the material elements of </w:t>
      </w:r>
      <w:r w:rsidR="00F13D3D" w:rsidRPr="006B6CF6">
        <w:rPr>
          <w:rFonts w:cs="Traditional Arabic"/>
          <w:i/>
          <w:iCs/>
          <w:szCs w:val="36"/>
          <w:lang w:val="id-ID"/>
        </w:rPr>
        <w:t>‘</w:t>
      </w:r>
      <w:r w:rsidRPr="006B6CF6">
        <w:rPr>
          <w:rFonts w:cs="Traditional Arabic"/>
          <w:i/>
          <w:iCs/>
          <w:szCs w:val="36"/>
          <w:lang w:val="id-ID"/>
        </w:rPr>
        <w:t>ulūm al-Qur'ān</w:t>
      </w:r>
      <w:r w:rsidRPr="006E6940">
        <w:rPr>
          <w:rFonts w:cs="Traditional Arabic"/>
          <w:szCs w:val="36"/>
          <w:lang w:val="id-ID"/>
        </w:rPr>
        <w:t xml:space="preserve"> applied in interpretation have significance </w:t>
      </w:r>
      <w:r w:rsidR="00F13D3D">
        <w:rPr>
          <w:rFonts w:cs="Traditional Arabic"/>
          <w:szCs w:val="36"/>
          <w:lang w:val="id-ID"/>
        </w:rPr>
        <w:t>on</w:t>
      </w:r>
      <w:r w:rsidRPr="006E6940">
        <w:rPr>
          <w:rFonts w:cs="Traditional Arabic"/>
          <w:szCs w:val="36"/>
          <w:lang w:val="id-ID"/>
        </w:rPr>
        <w:t xml:space="preserve"> intertextual reading. As an effort to verify this hypothesis, the research in this article emphasises more on scientific literature studies, by examining various interpretations of </w:t>
      </w:r>
      <w:r w:rsidR="006B6CF6">
        <w:rPr>
          <w:rFonts w:cs="Traditional Arabic"/>
          <w:szCs w:val="36"/>
          <w:lang w:val="id-ID"/>
        </w:rPr>
        <w:t xml:space="preserve">muslim </w:t>
      </w:r>
      <w:r w:rsidRPr="006E6940">
        <w:rPr>
          <w:rFonts w:cs="Traditional Arabic"/>
          <w:szCs w:val="36"/>
          <w:lang w:val="id-ID"/>
        </w:rPr>
        <w:t xml:space="preserve">scholars and orientalists </w:t>
      </w:r>
      <w:r w:rsidRPr="006E6940">
        <w:rPr>
          <w:rFonts w:cs="Traditional Arabic"/>
          <w:szCs w:val="36"/>
          <w:lang w:val="id-ID"/>
        </w:rPr>
        <w:lastRenderedPageBreak/>
        <w:t xml:space="preserve">from various books and articles related to Qs. Al-Maidah: 32-33. This article is expected to provide a more collaborative and balanced intertextual reading, more open in elaborating the Qur'an with the biblical tradition while still using the concepts of </w:t>
      </w:r>
      <w:r w:rsidRPr="006B6CF6">
        <w:rPr>
          <w:rFonts w:cs="Traditional Arabic"/>
          <w:i/>
          <w:iCs/>
          <w:szCs w:val="36"/>
          <w:lang w:val="id-ID"/>
        </w:rPr>
        <w:t>ulūm al-Qur'ān</w:t>
      </w:r>
      <w:r w:rsidRPr="006E6940">
        <w:rPr>
          <w:rFonts w:cs="Traditional Arabic"/>
          <w:szCs w:val="36"/>
          <w:lang w:val="id-ID"/>
        </w:rPr>
        <w:t xml:space="preserve"> as a balance. Furthermore, this research helps in understanding the Quran based on a historical approach that is tied to the situation, conditions, and worldview of Arab society in the late antiquity period.</w:t>
      </w:r>
    </w:p>
    <w:p w14:paraId="67A7F37F" w14:textId="36CD4982" w:rsidR="006E6940" w:rsidRDefault="00B45FC8" w:rsidP="00AB2824">
      <w:pPr>
        <w:spacing w:line="360" w:lineRule="auto"/>
        <w:ind w:firstLine="567"/>
        <w:jc w:val="both"/>
        <w:rPr>
          <w:rFonts w:cs="Traditional Arabic"/>
          <w:szCs w:val="36"/>
          <w:lang w:val="id-ID"/>
        </w:rPr>
      </w:pPr>
      <w:r w:rsidRPr="00B45FC8">
        <w:rPr>
          <w:rFonts w:cs="Traditional Arabic"/>
          <w:szCs w:val="36"/>
          <w:lang w:val="id-ID"/>
        </w:rPr>
        <w:t>This research uses the qualitative data analysis method by Matthew B. Miles and A. Michael Huberman. The theoretical framework</w:t>
      </w:r>
      <w:r w:rsidR="006B6CF6" w:rsidRPr="006F5102">
        <w:rPr>
          <w:rStyle w:val="ReferensiCatatanKaki"/>
          <w:szCs w:val="32"/>
          <w:lang w:val="id-ID"/>
        </w:rPr>
        <w:footnoteReference w:id="19"/>
      </w:r>
      <w:r w:rsidRPr="00B45FC8">
        <w:rPr>
          <w:rFonts w:cs="Traditional Arabic"/>
          <w:szCs w:val="36"/>
          <w:lang w:val="id-ID"/>
        </w:rPr>
        <w:t xml:space="preserve"> used in this article is intertextual reading. </w:t>
      </w:r>
      <w:r w:rsidR="006B6CF6">
        <w:rPr>
          <w:rFonts w:cs="Traditional Arabic"/>
          <w:szCs w:val="36"/>
          <w:lang w:val="id-ID"/>
        </w:rPr>
        <w:t>Data of i</w:t>
      </w:r>
      <w:r w:rsidRPr="00B45FC8">
        <w:rPr>
          <w:rFonts w:cs="Traditional Arabic"/>
          <w:szCs w:val="36"/>
          <w:lang w:val="id-ID"/>
        </w:rPr>
        <w:t>ntertextual reading becomes the focussed object as a case study, while non-intertextual aspects are only used as supporting data.</w:t>
      </w:r>
      <w:r w:rsidRPr="006F5102">
        <w:rPr>
          <w:rStyle w:val="ReferensiCatatanKaki"/>
          <w:szCs w:val="32"/>
          <w:lang w:val="id-ID"/>
        </w:rPr>
        <w:footnoteReference w:id="20"/>
      </w:r>
      <w:r w:rsidRPr="00B45FC8">
        <w:rPr>
          <w:rFonts w:cs="Traditional Arabic"/>
          <w:szCs w:val="36"/>
          <w:lang w:val="id-ID"/>
        </w:rPr>
        <w:t xml:space="preserve"> </w:t>
      </w:r>
      <w:r w:rsidR="006B6CF6">
        <w:rPr>
          <w:rFonts w:cs="Traditional Arabic"/>
          <w:szCs w:val="36"/>
          <w:lang w:val="id-ID"/>
        </w:rPr>
        <w:t>Da</w:t>
      </w:r>
      <w:r w:rsidR="00045EE2">
        <w:rPr>
          <w:rFonts w:cs="Traditional Arabic"/>
          <w:szCs w:val="36"/>
          <w:lang w:val="id-ID"/>
        </w:rPr>
        <w:t>t</w:t>
      </w:r>
      <w:r w:rsidR="006B6CF6">
        <w:rPr>
          <w:rFonts w:cs="Traditional Arabic"/>
          <w:szCs w:val="36"/>
          <w:lang w:val="id-ID"/>
        </w:rPr>
        <w:t>a of i</w:t>
      </w:r>
      <w:r w:rsidRPr="00B45FC8">
        <w:rPr>
          <w:rFonts w:cs="Traditional Arabic"/>
          <w:szCs w:val="36"/>
          <w:lang w:val="id-ID"/>
        </w:rPr>
        <w:t xml:space="preserve">ntertextual readings are obtained from the interpretations of Muslim </w:t>
      </w:r>
      <w:r w:rsidRPr="00B45FC8">
        <w:rPr>
          <w:rFonts w:cs="Traditional Arabic"/>
          <w:szCs w:val="36"/>
          <w:lang w:val="id-ID"/>
        </w:rPr>
        <w:t xml:space="preserve">scholars (mufasir) and orientalists. Analyses other than intertextual, such as </w:t>
      </w:r>
      <w:r w:rsidRPr="006B6CF6">
        <w:rPr>
          <w:rFonts w:cs="Traditional Arabic"/>
          <w:i/>
          <w:iCs/>
          <w:szCs w:val="36"/>
          <w:lang w:val="id-ID"/>
        </w:rPr>
        <w:t>munāsabah</w:t>
      </w:r>
      <w:r w:rsidRPr="00B45FC8">
        <w:rPr>
          <w:rFonts w:cs="Traditional Arabic"/>
          <w:szCs w:val="36"/>
          <w:lang w:val="id-ID"/>
        </w:rPr>
        <w:t xml:space="preserve"> (intratextual) analysis, </w:t>
      </w:r>
      <w:r w:rsidRPr="006B6CF6">
        <w:rPr>
          <w:rFonts w:cs="Traditional Arabic"/>
          <w:i/>
          <w:iCs/>
          <w:szCs w:val="36"/>
          <w:lang w:val="id-ID"/>
        </w:rPr>
        <w:t>sabab al-nuzūl</w:t>
      </w:r>
      <w:r w:rsidRPr="00B45FC8">
        <w:rPr>
          <w:rFonts w:cs="Traditional Arabic"/>
          <w:szCs w:val="36"/>
          <w:lang w:val="id-ID"/>
        </w:rPr>
        <w:t xml:space="preserve"> (macro and micro), etc. are used to support the understanding of the verse. Based on the theoretical framework</w:t>
      </w:r>
      <w:r w:rsidRPr="006F5102">
        <w:rPr>
          <w:rStyle w:val="ReferensiCatatanKaki"/>
          <w:szCs w:val="32"/>
          <w:lang w:val="id-ID"/>
        </w:rPr>
        <w:footnoteReference w:id="21"/>
      </w:r>
      <w:r w:rsidRPr="00B45FC8">
        <w:rPr>
          <w:rFonts w:cs="Traditional Arabic"/>
          <w:szCs w:val="36"/>
          <w:lang w:val="id-ID"/>
        </w:rPr>
        <w:t xml:space="preserve">, two issues are explained in this article: (1) </w:t>
      </w:r>
      <w:r w:rsidR="00AB2824" w:rsidRPr="00AB2824">
        <w:rPr>
          <w:rFonts w:cs="Traditional Arabic"/>
          <w:szCs w:val="36"/>
          <w:lang w:val="id-ID"/>
        </w:rPr>
        <w:t>Intertextual interpretation of Muslim scholars (mufasir) and orientalists on Qs. al-Maidah: 32-33</w:t>
      </w:r>
      <w:r w:rsidRPr="00B45FC8">
        <w:rPr>
          <w:rFonts w:cs="Traditional Arabic"/>
          <w:szCs w:val="36"/>
          <w:lang w:val="id-ID"/>
        </w:rPr>
        <w:t xml:space="preserve">; (2) </w:t>
      </w:r>
      <w:r w:rsidR="00AB2824">
        <w:rPr>
          <w:rFonts w:cs="Traditional Arabic"/>
          <w:szCs w:val="36"/>
          <w:lang w:val="id-ID"/>
        </w:rPr>
        <w:t>R</w:t>
      </w:r>
      <w:r w:rsidR="00AB2824" w:rsidRPr="00AB2824">
        <w:rPr>
          <w:rFonts w:cs="Traditional Arabic"/>
          <w:szCs w:val="36"/>
          <w:lang w:val="id-ID"/>
        </w:rPr>
        <w:t>einterpretation of Qs. al-Maidah: 32-33 through the elaborative paradigm of mufasir and orientalist intertextual reading</w:t>
      </w:r>
      <w:r w:rsidR="00AB2824">
        <w:rPr>
          <w:rFonts w:cs="Traditional Arabic"/>
          <w:szCs w:val="36"/>
          <w:lang w:val="id-ID"/>
        </w:rPr>
        <w:t>.</w:t>
      </w:r>
    </w:p>
    <w:p w14:paraId="40CDBBFC" w14:textId="2489DFDF" w:rsidR="00B45FC8" w:rsidRPr="00B45FC8" w:rsidRDefault="00B45FC8" w:rsidP="00B45FC8">
      <w:pPr>
        <w:spacing w:line="360" w:lineRule="auto"/>
        <w:ind w:firstLine="567"/>
        <w:jc w:val="both"/>
        <w:rPr>
          <w:rFonts w:cs="Traditional Arabic"/>
          <w:szCs w:val="36"/>
          <w:lang w:val="id-ID"/>
        </w:rPr>
      </w:pPr>
      <w:r w:rsidRPr="00B45FC8">
        <w:rPr>
          <w:rFonts w:cs="Traditional Arabic"/>
          <w:szCs w:val="36"/>
          <w:lang w:val="id-ID"/>
        </w:rPr>
        <w:t xml:space="preserve">This method includes three main stages: (1) Substance selection; (2) Data presentation; (3) Conclusion drawing and verification. The stage of analysis begins with data condensation. This stage determines the data of the interpretation of Qs. al-Maidah: 32-33 that is used as a sample, in this case the main interpretations, such as </w:t>
      </w:r>
      <w:r w:rsidRPr="007B05D6">
        <w:rPr>
          <w:rFonts w:cs="Traditional Arabic"/>
          <w:i/>
          <w:iCs/>
          <w:szCs w:val="36"/>
          <w:lang w:val="id-ID"/>
        </w:rPr>
        <w:t>Tafsīr al-Ṭabari</w:t>
      </w:r>
      <w:r w:rsidRPr="00B45FC8">
        <w:rPr>
          <w:rFonts w:cs="Traditional Arabic"/>
          <w:szCs w:val="36"/>
          <w:lang w:val="id-ID"/>
        </w:rPr>
        <w:t xml:space="preserve"> and </w:t>
      </w:r>
      <w:r w:rsidRPr="007B05D6">
        <w:rPr>
          <w:rFonts w:cs="Traditional Arabic"/>
          <w:i/>
          <w:iCs/>
          <w:szCs w:val="36"/>
          <w:lang w:val="id-ID"/>
        </w:rPr>
        <w:t>Tafsīr al-Rāzi</w:t>
      </w:r>
      <w:r w:rsidRPr="00B45FC8">
        <w:rPr>
          <w:rFonts w:cs="Traditional Arabic"/>
          <w:szCs w:val="36"/>
          <w:lang w:val="id-ID"/>
        </w:rPr>
        <w:t xml:space="preserve">. Also </w:t>
      </w:r>
      <w:r w:rsidR="007B05D6">
        <w:rPr>
          <w:rFonts w:cs="Traditional Arabic"/>
          <w:szCs w:val="36"/>
          <w:lang w:val="id-ID"/>
        </w:rPr>
        <w:t>books of tafsir</w:t>
      </w:r>
      <w:r w:rsidRPr="00B45FC8">
        <w:rPr>
          <w:rFonts w:cs="Traditional Arabic"/>
          <w:szCs w:val="36"/>
          <w:lang w:val="id-ID"/>
        </w:rPr>
        <w:t xml:space="preserve"> that use intertextual analysis include </w:t>
      </w:r>
      <w:r w:rsidRPr="007B05D6">
        <w:rPr>
          <w:rFonts w:cs="Traditional Arabic"/>
          <w:i/>
          <w:iCs/>
          <w:szCs w:val="36"/>
          <w:lang w:val="id-ID"/>
        </w:rPr>
        <w:t>Tafsīr Ibn Katsir</w:t>
      </w:r>
      <w:r w:rsidRPr="00B45FC8">
        <w:rPr>
          <w:rFonts w:cs="Traditional Arabic"/>
          <w:szCs w:val="36"/>
          <w:lang w:val="id-ID"/>
        </w:rPr>
        <w:t xml:space="preserve"> </w:t>
      </w:r>
      <w:r w:rsidRPr="00B45FC8">
        <w:rPr>
          <w:rFonts w:cs="Traditional Arabic"/>
          <w:szCs w:val="36"/>
          <w:lang w:val="id-ID"/>
        </w:rPr>
        <w:lastRenderedPageBreak/>
        <w:t xml:space="preserve">and </w:t>
      </w:r>
      <w:r w:rsidRPr="007B05D6">
        <w:rPr>
          <w:rFonts w:cs="Traditional Arabic"/>
          <w:i/>
          <w:iCs/>
          <w:szCs w:val="36"/>
          <w:lang w:val="id-ID"/>
        </w:rPr>
        <w:t>Tafsīr al-Mannār</w:t>
      </w:r>
      <w:r w:rsidRPr="00B45FC8">
        <w:rPr>
          <w:rFonts w:cs="Traditional Arabic"/>
          <w:szCs w:val="36"/>
          <w:lang w:val="id-ID"/>
        </w:rPr>
        <w:t>. Orientalist intertextual interpretations were included in the main sampling criteria. The data were selected and focused on intertextual topics and analyses that strengthen the understanding of the text. The data were then simplified and abstracted into two intertextual issues, namely the relationship between the qiṣāṣ ruling in Qs. al-Maidah: 32-33 with the qiṣāṣ law found in Biblical sources, and the problem of the meaning of ‘equality of murder’ contained in the verse.</w:t>
      </w:r>
    </w:p>
    <w:p w14:paraId="0201588E" w14:textId="6CDA9178" w:rsidR="00B45FC8" w:rsidRPr="00A41ACF" w:rsidRDefault="00B45FC8" w:rsidP="00B45FC8">
      <w:pPr>
        <w:spacing w:line="360" w:lineRule="auto"/>
        <w:ind w:firstLine="567"/>
        <w:jc w:val="both"/>
        <w:rPr>
          <w:rFonts w:cs="Traditional Arabic"/>
          <w:szCs w:val="36"/>
          <w:lang w:val="id-ID"/>
        </w:rPr>
      </w:pPr>
      <w:r w:rsidRPr="00B45FC8">
        <w:rPr>
          <w:rFonts w:cs="Traditional Arabic"/>
          <w:szCs w:val="36"/>
          <w:lang w:val="id-ID"/>
        </w:rPr>
        <w:t>In the data presentation stage</w:t>
      </w:r>
      <w:r w:rsidRPr="006F5102">
        <w:rPr>
          <w:rStyle w:val="ReferensiCatatanKaki"/>
          <w:szCs w:val="32"/>
          <w:lang w:val="id-ID"/>
        </w:rPr>
        <w:footnoteReference w:id="22"/>
      </w:r>
      <w:r w:rsidRPr="00B45FC8">
        <w:rPr>
          <w:rFonts w:cs="Traditional Arabic"/>
          <w:szCs w:val="36"/>
          <w:lang w:val="id-ID"/>
        </w:rPr>
        <w:t>, the interpretations that have been obtained previously are described to find out the interpretation process from the aspects of text, context to intertext. The description is analysed to determine the causal relationship between each aspect. The next stage is conclusion drawing and verification.</w:t>
      </w:r>
      <w:r w:rsidRPr="006F5102">
        <w:rPr>
          <w:rStyle w:val="ReferensiCatatanKaki"/>
          <w:szCs w:val="32"/>
          <w:lang w:val="id-ID"/>
        </w:rPr>
        <w:footnoteReference w:id="23"/>
      </w:r>
      <w:r w:rsidRPr="00B45FC8">
        <w:rPr>
          <w:rFonts w:cs="Traditional Arabic"/>
          <w:szCs w:val="36"/>
          <w:lang w:val="id-ID"/>
        </w:rPr>
        <w:t xml:space="preserve"> This stage affirms the hypothesis proposed in this article </w:t>
      </w:r>
      <w:r w:rsidRPr="00B45FC8">
        <w:rPr>
          <w:rFonts w:cs="Traditional Arabic"/>
          <w:szCs w:val="36"/>
          <w:lang w:val="id-ID"/>
        </w:rPr>
        <w:t>and produces a new, more comprehensive meaning.</w:t>
      </w:r>
    </w:p>
    <w:p w14:paraId="0337F57D" w14:textId="2DC59896" w:rsidR="00B128C5" w:rsidRPr="00B128C5" w:rsidRDefault="00B45FC8" w:rsidP="006B10FA">
      <w:pPr>
        <w:pStyle w:val="DaftarParagraf"/>
        <w:tabs>
          <w:tab w:val="left" w:pos="360"/>
        </w:tabs>
        <w:spacing w:before="240" w:line="360" w:lineRule="auto"/>
        <w:ind w:left="0"/>
        <w:jc w:val="both"/>
        <w:outlineLvl w:val="0"/>
        <w:rPr>
          <w:rFonts w:cs="Traditional Arabic"/>
          <w:b/>
          <w:bCs/>
          <w:szCs w:val="36"/>
          <w:lang w:val="id-ID"/>
        </w:rPr>
      </w:pPr>
      <w:r w:rsidRPr="00B45FC8">
        <w:rPr>
          <w:rFonts w:cs="Traditional Arabic"/>
          <w:b/>
          <w:bCs/>
          <w:szCs w:val="36"/>
          <w:lang w:val="id-ID"/>
        </w:rPr>
        <w:t xml:space="preserve">The Qur'an in the View of </w:t>
      </w:r>
      <w:r w:rsidR="00DB0EC4">
        <w:rPr>
          <w:rFonts w:cs="Traditional Arabic"/>
          <w:b/>
          <w:bCs/>
          <w:szCs w:val="36"/>
          <w:lang w:val="id-ID"/>
        </w:rPr>
        <w:t xml:space="preserve">Islamic </w:t>
      </w:r>
      <w:r w:rsidRPr="00B45FC8">
        <w:rPr>
          <w:rFonts w:cs="Traditional Arabic"/>
          <w:b/>
          <w:bCs/>
          <w:szCs w:val="36"/>
          <w:lang w:val="id-ID"/>
        </w:rPr>
        <w:t xml:space="preserve">Scholars and Orientalists: Elaborative Paradigms </w:t>
      </w:r>
      <w:r w:rsidR="00DB0EC4">
        <w:rPr>
          <w:rFonts w:cs="Traditional Arabic"/>
          <w:b/>
          <w:bCs/>
          <w:szCs w:val="36"/>
          <w:lang w:val="id-ID"/>
        </w:rPr>
        <w:t>of</w:t>
      </w:r>
      <w:r w:rsidRPr="00B45FC8">
        <w:rPr>
          <w:rFonts w:cs="Traditional Arabic"/>
          <w:b/>
          <w:bCs/>
          <w:szCs w:val="36"/>
          <w:lang w:val="id-ID"/>
        </w:rPr>
        <w:t xml:space="preserve"> Intertextual Reading</w:t>
      </w:r>
    </w:p>
    <w:p w14:paraId="77CC9C44" w14:textId="77777777" w:rsidR="007B05D6" w:rsidRDefault="00B45FC8" w:rsidP="00313D56">
      <w:pPr>
        <w:spacing w:line="360" w:lineRule="auto"/>
        <w:ind w:firstLine="567"/>
        <w:jc w:val="both"/>
        <w:rPr>
          <w:rFonts w:cs="Traditional Arabic"/>
          <w:szCs w:val="36"/>
          <w:lang w:val="id-ID"/>
        </w:rPr>
      </w:pPr>
      <w:r w:rsidRPr="00B45FC8">
        <w:rPr>
          <w:rFonts w:cs="Traditional Arabic"/>
          <w:szCs w:val="36"/>
          <w:lang w:val="id-ID"/>
        </w:rPr>
        <w:t xml:space="preserve">The Qur'an is a </w:t>
      </w:r>
      <w:r w:rsidR="007B05D6">
        <w:rPr>
          <w:rFonts w:cs="Traditional Arabic"/>
          <w:szCs w:val="36"/>
          <w:lang w:val="id-ID"/>
        </w:rPr>
        <w:t xml:space="preserve">scripture </w:t>
      </w:r>
      <w:r w:rsidRPr="00B45FC8">
        <w:rPr>
          <w:rFonts w:cs="Traditional Arabic"/>
          <w:szCs w:val="36"/>
          <w:lang w:val="id-ID"/>
        </w:rPr>
        <w:t xml:space="preserve">that confirms the previous </w:t>
      </w:r>
      <w:r w:rsidR="007B05D6">
        <w:rPr>
          <w:rFonts w:cs="Traditional Arabic"/>
          <w:szCs w:val="36"/>
          <w:lang w:val="id-ID"/>
        </w:rPr>
        <w:t>scripture</w:t>
      </w:r>
      <w:r w:rsidRPr="00B45FC8">
        <w:rPr>
          <w:rFonts w:cs="Traditional Arabic"/>
          <w:szCs w:val="36"/>
          <w:lang w:val="id-ID"/>
        </w:rPr>
        <w:t>, confirming the teachings of the previous prophets.</w:t>
      </w:r>
      <w:r w:rsidRPr="006F5102">
        <w:rPr>
          <w:rFonts w:ascii="Cambria" w:hAnsi="Cambria"/>
          <w:vertAlign w:val="superscript"/>
        </w:rPr>
        <w:footnoteReference w:id="24"/>
      </w:r>
      <w:r w:rsidRPr="00B45FC8">
        <w:rPr>
          <w:rFonts w:cs="Traditional Arabic"/>
          <w:szCs w:val="36"/>
          <w:lang w:val="id-ID"/>
        </w:rPr>
        <w:t xml:space="preserve"> When the Qur'an mentions the problem of authenticity of the teachings of the previous prophets, the Qur'an is present to straighten out these deviations. The relationship between the Quranic text and other textual sources - in contemporary terms - is called intertextual. </w:t>
      </w:r>
    </w:p>
    <w:p w14:paraId="14D1609A" w14:textId="349E8E1D" w:rsidR="007A0F77" w:rsidRDefault="00B45FC8" w:rsidP="00313D56">
      <w:pPr>
        <w:spacing w:line="360" w:lineRule="auto"/>
        <w:ind w:firstLine="567"/>
        <w:jc w:val="both"/>
        <w:rPr>
          <w:rFonts w:cs="Traditional Arabic"/>
          <w:szCs w:val="36"/>
          <w:lang w:val="id-ID"/>
        </w:rPr>
      </w:pPr>
      <w:r w:rsidRPr="00B45FC8">
        <w:rPr>
          <w:rFonts w:cs="Traditional Arabic"/>
          <w:szCs w:val="36"/>
          <w:lang w:val="id-ID"/>
        </w:rPr>
        <w:t xml:space="preserve">The way the Qur'an sees the previous </w:t>
      </w:r>
      <w:r w:rsidR="003B686B">
        <w:rPr>
          <w:rFonts w:cs="Traditional Arabic"/>
          <w:szCs w:val="36"/>
          <w:lang w:val="id-ID"/>
        </w:rPr>
        <w:t>scriptures</w:t>
      </w:r>
      <w:r w:rsidRPr="00B45FC8">
        <w:rPr>
          <w:rFonts w:cs="Traditional Arabic"/>
          <w:szCs w:val="36"/>
          <w:lang w:val="id-ID"/>
        </w:rPr>
        <w:t xml:space="preserve"> is based on a selective paradigm, not all the substance in the previous </w:t>
      </w:r>
      <w:r w:rsidR="003B686B">
        <w:rPr>
          <w:rFonts w:cs="Traditional Arabic"/>
          <w:szCs w:val="36"/>
          <w:lang w:val="id-ID"/>
        </w:rPr>
        <w:t>scriptures</w:t>
      </w:r>
      <w:r w:rsidRPr="00B45FC8">
        <w:rPr>
          <w:rFonts w:cs="Traditional Arabic"/>
          <w:szCs w:val="36"/>
          <w:lang w:val="id-ID"/>
        </w:rPr>
        <w:t xml:space="preserve"> </w:t>
      </w:r>
      <w:r w:rsidR="003B686B">
        <w:rPr>
          <w:rFonts w:cs="Traditional Arabic"/>
          <w:szCs w:val="36"/>
          <w:lang w:val="id-ID"/>
        </w:rPr>
        <w:t>are</w:t>
      </w:r>
      <w:r w:rsidRPr="00B45FC8">
        <w:rPr>
          <w:rFonts w:cs="Traditional Arabic"/>
          <w:szCs w:val="36"/>
          <w:lang w:val="id-ID"/>
        </w:rPr>
        <w:t xml:space="preserve"> adopted, even though the Qur'an sa</w:t>
      </w:r>
      <w:r w:rsidR="003B686B">
        <w:rPr>
          <w:rFonts w:cs="Traditional Arabic"/>
          <w:szCs w:val="36"/>
          <w:lang w:val="id-ID"/>
        </w:rPr>
        <w:t>id</w:t>
      </w:r>
      <w:r w:rsidRPr="00B45FC8">
        <w:rPr>
          <w:rFonts w:cs="Traditional Arabic"/>
          <w:szCs w:val="36"/>
          <w:lang w:val="id-ID"/>
        </w:rPr>
        <w:t xml:space="preserve"> ‘</w:t>
      </w:r>
      <w:r w:rsidR="00313D56" w:rsidRPr="00313D56">
        <w:rPr>
          <w:rFonts w:cs="Traditional Arabic"/>
          <w:i/>
          <w:iCs/>
          <w:szCs w:val="36"/>
        </w:rPr>
        <w:t xml:space="preserve">So if you are in doubt, [O Muḥammad], about that which We have revealed to you, then ask those who have been reading the Scripture </w:t>
      </w:r>
      <w:r w:rsidR="00313D56" w:rsidRPr="00313D56">
        <w:rPr>
          <w:rFonts w:cs="Traditional Arabic"/>
          <w:i/>
          <w:iCs/>
          <w:szCs w:val="36"/>
        </w:rPr>
        <w:lastRenderedPageBreak/>
        <w:t>before you…</w:t>
      </w:r>
      <w:r w:rsidR="00313D56" w:rsidRPr="00313D56">
        <w:rPr>
          <w:rFonts w:cs="Traditional Arabic"/>
          <w:szCs w:val="36"/>
        </w:rPr>
        <w:t> </w:t>
      </w:r>
      <w:r w:rsidRPr="00B45FC8">
        <w:rPr>
          <w:rFonts w:cs="Traditional Arabic"/>
          <w:szCs w:val="36"/>
          <w:lang w:val="id-ID"/>
        </w:rPr>
        <w:t>’</w:t>
      </w:r>
      <w:r w:rsidR="00313D56">
        <w:rPr>
          <w:rStyle w:val="ReferensiCatatanKaki"/>
          <w:rFonts w:cs="Traditional Arabic"/>
          <w:szCs w:val="36"/>
          <w:lang w:val="id-ID"/>
        </w:rPr>
        <w:footnoteReference w:id="25"/>
      </w:r>
      <w:r w:rsidRPr="00B45FC8">
        <w:rPr>
          <w:rFonts w:cs="Traditional Arabic"/>
          <w:szCs w:val="36"/>
          <w:lang w:val="id-ID"/>
        </w:rPr>
        <w:t xml:space="preserve"> The implication of this paradigm is that one cannot freely take a previous </w:t>
      </w:r>
      <w:r w:rsidR="003B686B">
        <w:rPr>
          <w:rFonts w:cs="Traditional Arabic"/>
          <w:szCs w:val="36"/>
          <w:lang w:val="id-ID"/>
        </w:rPr>
        <w:t>scriptures</w:t>
      </w:r>
      <w:r w:rsidRPr="00B45FC8">
        <w:rPr>
          <w:rFonts w:cs="Traditional Arabic"/>
          <w:szCs w:val="36"/>
          <w:lang w:val="id-ID"/>
        </w:rPr>
        <w:t xml:space="preserve"> as a source without verifying it.</w:t>
      </w:r>
    </w:p>
    <w:p w14:paraId="31BC48CE" w14:textId="11834EEA" w:rsidR="00313D56" w:rsidRPr="00306664" w:rsidRDefault="00313D56" w:rsidP="00313D56">
      <w:pPr>
        <w:spacing w:line="360" w:lineRule="auto"/>
        <w:ind w:firstLine="567"/>
        <w:jc w:val="both"/>
        <w:rPr>
          <w:rFonts w:cs="Traditional Arabic"/>
          <w:szCs w:val="36"/>
          <w:lang w:val="id-ID"/>
        </w:rPr>
      </w:pPr>
      <w:r w:rsidRPr="00313D56">
        <w:rPr>
          <w:rFonts w:cs="Traditional Arabic"/>
          <w:szCs w:val="36"/>
          <w:lang w:val="id-ID"/>
        </w:rPr>
        <w:t>Husein al-Dzahabi</w:t>
      </w:r>
      <w:r w:rsidRPr="006F5102">
        <w:rPr>
          <w:rFonts w:ascii="Cambria" w:hAnsi="Cambria"/>
          <w:vertAlign w:val="superscript"/>
          <w:lang w:val="id-ID"/>
        </w:rPr>
        <w:footnoteReference w:id="26"/>
      </w:r>
      <w:r w:rsidRPr="00313D56">
        <w:rPr>
          <w:rFonts w:cs="Traditional Arabic"/>
          <w:szCs w:val="36"/>
          <w:lang w:val="id-ID"/>
        </w:rPr>
        <w:t xml:space="preserve"> explained the interaction of the Companions with information from</w:t>
      </w:r>
      <w:r w:rsidR="003B686B">
        <w:rPr>
          <w:rFonts w:cs="Traditional Arabic"/>
          <w:szCs w:val="36"/>
          <w:lang w:val="id-ID"/>
        </w:rPr>
        <w:t xml:space="preserve"> </w:t>
      </w:r>
      <w:r w:rsidR="003B686B" w:rsidRPr="003B686B">
        <w:rPr>
          <w:rFonts w:ascii="Times New Arabic" w:hAnsi="Times New Arabic" w:cs="Traditional Arabic"/>
          <w:i/>
          <w:iCs/>
          <w:szCs w:val="36"/>
          <w:lang w:val="id-ID"/>
        </w:rPr>
        <w:t>ahl kita</w:t>
      </w:r>
      <w:r w:rsidR="003B686B">
        <w:rPr>
          <w:rFonts w:ascii="Times New Arabic" w:hAnsi="Times New Arabic" w:cs="Traditional Arabic"/>
          <w:i/>
          <w:iCs/>
          <w:szCs w:val="36"/>
          <w:lang w:val="id-ID"/>
        </w:rPr>
        <w:t>&gt;</w:t>
      </w:r>
      <w:r w:rsidR="003B686B" w:rsidRPr="003B686B">
        <w:rPr>
          <w:rFonts w:ascii="Times New Arabic" w:hAnsi="Times New Arabic" w:cs="Traditional Arabic"/>
          <w:i/>
          <w:iCs/>
          <w:szCs w:val="36"/>
          <w:lang w:val="id-ID"/>
        </w:rPr>
        <w:t>b</w:t>
      </w:r>
      <w:r w:rsidRPr="00313D56">
        <w:rPr>
          <w:rFonts w:cs="Traditional Arabic"/>
          <w:szCs w:val="36"/>
          <w:lang w:val="id-ID"/>
        </w:rPr>
        <w:t xml:space="preserve">, that the news sourced from </w:t>
      </w:r>
      <w:r w:rsidRPr="003B686B">
        <w:rPr>
          <w:rFonts w:ascii="Times New Arabic" w:hAnsi="Times New Arabic" w:cs="Traditional Arabic"/>
          <w:i/>
          <w:iCs/>
          <w:szCs w:val="36"/>
          <w:lang w:val="id-ID"/>
        </w:rPr>
        <w:t>isra</w:t>
      </w:r>
      <w:r w:rsidR="003B686B">
        <w:rPr>
          <w:rFonts w:ascii="Times New Arabic" w:hAnsi="Times New Arabic" w:cs="Traditional Arabic"/>
          <w:i/>
          <w:iCs/>
          <w:szCs w:val="36"/>
          <w:lang w:val="id-ID"/>
        </w:rPr>
        <w:t>&gt;</w:t>
      </w:r>
      <w:r w:rsidRPr="003B686B">
        <w:rPr>
          <w:rFonts w:ascii="Times New Arabic" w:hAnsi="Times New Arabic" w:cs="Traditional Arabic"/>
          <w:i/>
          <w:iCs/>
          <w:szCs w:val="36"/>
          <w:lang w:val="id-ID"/>
        </w:rPr>
        <w:t>ili</w:t>
      </w:r>
      <w:r w:rsidR="003B686B">
        <w:rPr>
          <w:rFonts w:ascii="Times New Arabic" w:hAnsi="Times New Arabic" w:cs="Traditional Arabic"/>
          <w:i/>
          <w:iCs/>
          <w:szCs w:val="36"/>
          <w:lang w:val="id-ID"/>
        </w:rPr>
        <w:t>y</w:t>
      </w:r>
      <w:r w:rsidRPr="003B686B">
        <w:rPr>
          <w:rFonts w:ascii="Times New Arabic" w:hAnsi="Times New Arabic" w:cs="Traditional Arabic"/>
          <w:i/>
          <w:iCs/>
          <w:szCs w:val="36"/>
          <w:lang w:val="id-ID"/>
        </w:rPr>
        <w:t>a</w:t>
      </w:r>
      <w:r w:rsidR="003B686B">
        <w:rPr>
          <w:rFonts w:ascii="Times New Arabic" w:hAnsi="Times New Arabic" w:cs="Traditional Arabic"/>
          <w:i/>
          <w:iCs/>
          <w:szCs w:val="36"/>
          <w:lang w:val="id-ID"/>
        </w:rPr>
        <w:t>&gt;</w:t>
      </w:r>
      <w:r w:rsidRPr="003B686B">
        <w:rPr>
          <w:rFonts w:ascii="Times New Arabic" w:hAnsi="Times New Arabic" w:cs="Traditional Arabic"/>
          <w:i/>
          <w:iCs/>
          <w:szCs w:val="36"/>
          <w:lang w:val="id-ID"/>
        </w:rPr>
        <w:t>t</w:t>
      </w:r>
      <w:r w:rsidRPr="003B686B">
        <w:rPr>
          <w:rFonts w:ascii="Times New Arabic" w:hAnsi="Times New Arabic" w:cs="Traditional Arabic"/>
          <w:szCs w:val="36"/>
          <w:lang w:val="id-ID"/>
        </w:rPr>
        <w:t xml:space="preserve"> </w:t>
      </w:r>
      <w:r w:rsidRPr="00313D56">
        <w:rPr>
          <w:rFonts w:cs="Traditional Arabic"/>
          <w:szCs w:val="36"/>
          <w:lang w:val="id-ID"/>
        </w:rPr>
        <w:t>(Biblical tradition) as long as it does not conflict with the aqidah and contradicts the Qur'an, it can be used as a source of interpretation. Vice versa, if it contradicts then it is not used. However, if the equivalence and contradiction cannot be confirmed, then there is no affirmation and rejection. On the last issue, al-Dzahabi based it on the words of the Prophet Muhammad:</w:t>
      </w:r>
    </w:p>
    <w:p w14:paraId="3F73C386" w14:textId="70A749D9" w:rsidR="000C0029" w:rsidRDefault="00313D56" w:rsidP="00313D56">
      <w:pPr>
        <w:jc w:val="both"/>
        <w:rPr>
          <w:rFonts w:ascii="Traditional Arabic" w:hAnsi="Traditional Arabic" w:cs="Traditional Arabic"/>
          <w:sz w:val="32"/>
          <w:szCs w:val="32"/>
        </w:rPr>
      </w:pPr>
      <w:r w:rsidRPr="006F5102">
        <w:rPr>
          <w:rFonts w:ascii="Traditional Arabic" w:hAnsi="Traditional Arabic" w:cs="Traditional Arabic"/>
          <w:sz w:val="32"/>
          <w:szCs w:val="32"/>
          <w:rtl/>
        </w:rPr>
        <w:t>لا تُصدِّقوا أهل الكتاب ولا تُكذِّبوهم، وقولوا: آمنا بالله وما أُنزل إلينا</w:t>
      </w:r>
      <w:r w:rsidRPr="006F5102">
        <w:rPr>
          <w:rFonts w:ascii="Traditional Arabic" w:hAnsi="Traditional Arabic" w:cs="Traditional Arabic"/>
          <w:sz w:val="32"/>
          <w:szCs w:val="32"/>
          <w:vertAlign w:val="superscript"/>
          <w:rtl/>
        </w:rPr>
        <w:footnoteReference w:id="27"/>
      </w:r>
      <w:r w:rsidRPr="006F5102">
        <w:rPr>
          <w:rFonts w:ascii="Traditional Arabic" w:hAnsi="Traditional Arabic" w:cs="Traditional Arabic"/>
          <w:sz w:val="32"/>
          <w:szCs w:val="32"/>
          <w:rtl/>
        </w:rPr>
        <w:t xml:space="preserve"> ... " الآية</w:t>
      </w:r>
    </w:p>
    <w:p w14:paraId="4E76556E" w14:textId="26A641F0" w:rsidR="00313D56" w:rsidRDefault="00313D56" w:rsidP="00313D56">
      <w:pPr>
        <w:ind w:left="567"/>
        <w:jc w:val="both"/>
        <w:rPr>
          <w:rFonts w:cs="Traditional Arabic"/>
          <w:szCs w:val="36"/>
          <w:lang w:val="id-ID"/>
        </w:rPr>
      </w:pPr>
      <w:r w:rsidRPr="00313D56">
        <w:rPr>
          <w:rFonts w:cs="Traditional Arabic"/>
          <w:szCs w:val="36"/>
          <w:lang w:val="id-ID"/>
        </w:rPr>
        <w:t xml:space="preserve">‘Neither confirm </w:t>
      </w:r>
      <w:r w:rsidR="003B686B" w:rsidRPr="003B686B">
        <w:rPr>
          <w:rFonts w:ascii="Times New Arabic" w:hAnsi="Times New Arabic" w:cs="Traditional Arabic"/>
          <w:i/>
          <w:iCs/>
          <w:szCs w:val="36"/>
          <w:lang w:val="id-ID"/>
        </w:rPr>
        <w:t>ahl kita</w:t>
      </w:r>
      <w:r w:rsidR="003B686B">
        <w:rPr>
          <w:rFonts w:ascii="Times New Arabic" w:hAnsi="Times New Arabic" w:cs="Traditional Arabic"/>
          <w:i/>
          <w:iCs/>
          <w:szCs w:val="36"/>
          <w:lang w:val="id-ID"/>
        </w:rPr>
        <w:t>&gt;</w:t>
      </w:r>
      <w:r w:rsidR="003B686B" w:rsidRPr="003B686B">
        <w:rPr>
          <w:rFonts w:ascii="Times New Arabic" w:hAnsi="Times New Arabic" w:cs="Traditional Arabic"/>
          <w:i/>
          <w:iCs/>
          <w:szCs w:val="36"/>
          <w:lang w:val="id-ID"/>
        </w:rPr>
        <w:t>b</w:t>
      </w:r>
      <w:r w:rsidR="003B686B" w:rsidRPr="00313D56">
        <w:rPr>
          <w:rFonts w:cs="Traditional Arabic"/>
          <w:szCs w:val="36"/>
          <w:lang w:val="id-ID"/>
        </w:rPr>
        <w:t xml:space="preserve"> </w:t>
      </w:r>
      <w:r w:rsidR="003B686B">
        <w:rPr>
          <w:rFonts w:cs="Traditional Arabic"/>
          <w:szCs w:val="36"/>
          <w:lang w:val="id-ID"/>
        </w:rPr>
        <w:t>(</w:t>
      </w:r>
      <w:r w:rsidRPr="00313D56">
        <w:rPr>
          <w:rFonts w:cs="Traditional Arabic"/>
          <w:szCs w:val="36"/>
          <w:lang w:val="id-ID"/>
        </w:rPr>
        <w:t>the People of the Book</w:t>
      </w:r>
      <w:r w:rsidR="003B686B">
        <w:rPr>
          <w:rFonts w:cs="Traditional Arabic"/>
          <w:szCs w:val="36"/>
          <w:lang w:val="id-ID"/>
        </w:rPr>
        <w:t>)</w:t>
      </w:r>
      <w:r w:rsidRPr="00313D56">
        <w:rPr>
          <w:rFonts w:cs="Traditional Arabic"/>
          <w:szCs w:val="36"/>
          <w:lang w:val="id-ID"/>
        </w:rPr>
        <w:t xml:space="preserve"> nor deny them, but say: ‘We believe in Allah and what has been revealed to us...’</w:t>
      </w:r>
    </w:p>
    <w:p w14:paraId="6CF43B02" w14:textId="5CE5CF11" w:rsidR="00313D56" w:rsidRDefault="00CA7E4C" w:rsidP="003B686B">
      <w:pPr>
        <w:spacing w:line="360" w:lineRule="auto"/>
        <w:ind w:firstLine="567"/>
        <w:jc w:val="both"/>
        <w:rPr>
          <w:rFonts w:cs="Traditional Arabic"/>
          <w:szCs w:val="36"/>
          <w:lang w:val="id-ID"/>
        </w:rPr>
      </w:pPr>
      <w:r w:rsidRPr="00CA7E4C">
        <w:rPr>
          <w:rFonts w:cs="Traditional Arabic"/>
          <w:szCs w:val="36"/>
          <w:lang w:val="id-ID"/>
        </w:rPr>
        <w:t>Unlike al-Dzahabi, according to Neuwirth</w:t>
      </w:r>
      <w:r w:rsidRPr="006F5102">
        <w:rPr>
          <w:rFonts w:ascii="Cambria" w:hAnsi="Cambria"/>
          <w:vertAlign w:val="superscript"/>
          <w:lang w:val="id-ID"/>
        </w:rPr>
        <w:footnoteReference w:id="28"/>
      </w:r>
      <w:r w:rsidRPr="00CA7E4C">
        <w:rPr>
          <w:rFonts w:cs="Traditional Arabic"/>
          <w:szCs w:val="36"/>
          <w:lang w:val="id-ID"/>
        </w:rPr>
        <w:t xml:space="preserve">, the intertextuality of </w:t>
      </w:r>
      <w:r w:rsidRPr="00CA7E4C">
        <w:rPr>
          <w:rFonts w:cs="Traditional Arabic"/>
          <w:szCs w:val="36"/>
          <w:lang w:val="id-ID"/>
        </w:rPr>
        <w:t>the Qur'an towards its predecessor sacred texts cannot be understood dualistically, right or wrong. She base</w:t>
      </w:r>
      <w:r w:rsidR="003B686B">
        <w:rPr>
          <w:rFonts w:cs="Traditional Arabic"/>
          <w:szCs w:val="36"/>
          <w:lang w:val="id-ID"/>
        </w:rPr>
        <w:t>d</w:t>
      </w:r>
      <w:r w:rsidRPr="00CA7E4C">
        <w:rPr>
          <w:rFonts w:cs="Traditional Arabic"/>
          <w:szCs w:val="36"/>
          <w:lang w:val="id-ID"/>
        </w:rPr>
        <w:t xml:space="preserve"> her argument on the assumption that the birth of the text is part of the dynamics of a creative critical process as the fruit of a civilization. In relation to the historical context, the Qur'an responds to the problems of society in various aspects, social, economic, spiritual, and tradition.</w:t>
      </w:r>
      <w:r w:rsidRPr="006F5102">
        <w:rPr>
          <w:rFonts w:ascii="Cambria" w:hAnsi="Cambria"/>
          <w:vertAlign w:val="superscript"/>
          <w:lang w:val="id-ID"/>
        </w:rPr>
        <w:footnoteReference w:id="29"/>
      </w:r>
      <w:r w:rsidRPr="00CA7E4C">
        <w:rPr>
          <w:rFonts w:cs="Traditional Arabic"/>
          <w:szCs w:val="36"/>
          <w:lang w:val="id-ID"/>
        </w:rPr>
        <w:t xml:space="preserve"> The context in which the Qur'an appear</w:t>
      </w:r>
      <w:r w:rsidR="003B686B">
        <w:rPr>
          <w:rFonts w:cs="Traditional Arabic"/>
          <w:szCs w:val="36"/>
          <w:lang w:val="id-ID"/>
        </w:rPr>
        <w:t>ed</w:t>
      </w:r>
      <w:r w:rsidRPr="00CA7E4C">
        <w:rPr>
          <w:rFonts w:cs="Traditional Arabic"/>
          <w:szCs w:val="36"/>
          <w:lang w:val="id-ID"/>
        </w:rPr>
        <w:t xml:space="preserve"> </w:t>
      </w:r>
      <w:r w:rsidR="003B686B">
        <w:rPr>
          <w:rFonts w:cs="Traditional Arabic"/>
          <w:szCs w:val="36"/>
          <w:lang w:val="id-ID"/>
        </w:rPr>
        <w:t>was</w:t>
      </w:r>
      <w:r w:rsidRPr="00CA7E4C">
        <w:rPr>
          <w:rFonts w:cs="Traditional Arabic"/>
          <w:szCs w:val="36"/>
          <w:lang w:val="id-ID"/>
        </w:rPr>
        <w:t xml:space="preserve"> in the environment of Mecca which </w:t>
      </w:r>
      <w:r w:rsidR="003B686B">
        <w:rPr>
          <w:rFonts w:cs="Traditional Arabic"/>
          <w:szCs w:val="36"/>
          <w:lang w:val="id-ID"/>
        </w:rPr>
        <w:t>had</w:t>
      </w:r>
      <w:r w:rsidRPr="00CA7E4C">
        <w:rPr>
          <w:rFonts w:cs="Traditional Arabic"/>
          <w:szCs w:val="36"/>
          <w:lang w:val="id-ID"/>
        </w:rPr>
        <w:t xml:space="preserve"> known the Abrahamic theological tradition, in addition to the theological atmosphere that </w:t>
      </w:r>
      <w:r w:rsidR="003B686B">
        <w:rPr>
          <w:rFonts w:cs="Traditional Arabic"/>
          <w:szCs w:val="36"/>
          <w:lang w:val="id-ID"/>
        </w:rPr>
        <w:t>was</w:t>
      </w:r>
      <w:r w:rsidRPr="00CA7E4C">
        <w:rPr>
          <w:rFonts w:cs="Traditional Arabic"/>
          <w:szCs w:val="36"/>
          <w:lang w:val="id-ID"/>
        </w:rPr>
        <w:t xml:space="preserve"> still condensed with pagan traditions.</w:t>
      </w:r>
      <w:r w:rsidRPr="006F5102">
        <w:rPr>
          <w:rFonts w:ascii="Cambria" w:hAnsi="Cambria"/>
          <w:vertAlign w:val="superscript"/>
          <w:lang w:val="id-ID"/>
        </w:rPr>
        <w:footnoteReference w:id="30"/>
      </w:r>
    </w:p>
    <w:p w14:paraId="7DEAA00D" w14:textId="69F36DFB" w:rsidR="00D15AF3" w:rsidRDefault="00D15AF3" w:rsidP="00D15AF3">
      <w:pPr>
        <w:spacing w:line="360" w:lineRule="auto"/>
        <w:ind w:firstLine="567"/>
        <w:jc w:val="both"/>
        <w:rPr>
          <w:rFonts w:cs="Traditional Arabic"/>
          <w:szCs w:val="36"/>
          <w:lang w:val="id-ID"/>
        </w:rPr>
      </w:pPr>
      <w:r>
        <w:rPr>
          <w:rFonts w:cs="Traditional Arabic"/>
          <w:szCs w:val="36"/>
        </w:rPr>
        <w:t>Neuwirth’s</w:t>
      </w:r>
      <w:r w:rsidRPr="00D15AF3">
        <w:rPr>
          <w:rFonts w:cs="Traditional Arabic"/>
          <w:szCs w:val="36"/>
        </w:rPr>
        <w:t xml:space="preserve"> paradigm of thought revolves around the idea that the Quran should be understood not in isolation but as part of a broader religious and cultural milieu that </w:t>
      </w:r>
      <w:r w:rsidRPr="00D15AF3">
        <w:rPr>
          <w:rFonts w:cs="Traditional Arabic"/>
          <w:szCs w:val="36"/>
        </w:rPr>
        <w:lastRenderedPageBreak/>
        <w:t>includes the Bible and other late antique texts.</w:t>
      </w:r>
      <w:r>
        <w:rPr>
          <w:rStyle w:val="ReferensiCatatanKaki"/>
          <w:rFonts w:cs="Traditional Arabic"/>
          <w:szCs w:val="36"/>
        </w:rPr>
        <w:footnoteReference w:id="31"/>
      </w:r>
      <w:r>
        <w:rPr>
          <w:rFonts w:cs="Traditional Arabic"/>
          <w:szCs w:val="36"/>
        </w:rPr>
        <w:t xml:space="preserve"> </w:t>
      </w:r>
      <w:r w:rsidRPr="00D15AF3">
        <w:rPr>
          <w:rFonts w:cs="Traditional Arabic"/>
          <w:szCs w:val="36"/>
        </w:rPr>
        <w:t>She argues that the Quran engages in a dialogue with these earlier scriptures, reinterpreting and recontextualizing their narratives and themes.</w:t>
      </w:r>
      <w:r w:rsidR="002F07E1">
        <w:rPr>
          <w:rStyle w:val="ReferensiCatatanKaki"/>
          <w:rFonts w:cs="Traditional Arabic"/>
          <w:szCs w:val="36"/>
        </w:rPr>
        <w:footnoteReference w:id="32"/>
      </w:r>
      <w:r w:rsidRPr="00D15AF3">
        <w:rPr>
          <w:rFonts w:cs="Traditional Arabic"/>
          <w:szCs w:val="36"/>
        </w:rPr>
        <w:t xml:space="preserve"> This approach helps to illuminate the Quran's unique message and its place within the continuum of monotheistic traditions.</w:t>
      </w:r>
    </w:p>
    <w:p w14:paraId="19610832" w14:textId="07875E18" w:rsidR="00D15AF3" w:rsidRDefault="002F07E1" w:rsidP="002F07E1">
      <w:pPr>
        <w:spacing w:line="360" w:lineRule="auto"/>
        <w:ind w:firstLine="567"/>
        <w:jc w:val="both"/>
        <w:rPr>
          <w:rFonts w:cs="Traditional Arabic"/>
          <w:szCs w:val="36"/>
          <w:lang w:val="id-ID"/>
        </w:rPr>
      </w:pPr>
      <w:r w:rsidRPr="002F07E1">
        <w:rPr>
          <w:rFonts w:cs="Traditional Arabic"/>
          <w:szCs w:val="36"/>
        </w:rPr>
        <w:t> Neuwirth sees the Quran as engaging in a theological dialogue with the Bible. She argues that the Quran addresses biblical themes and stories, often reinterpreting them to present a distinct theological perspective. This dialogue reflects the Quran's self-understanding as a continuation and correction of the biblical tradition.</w:t>
      </w:r>
      <w:r>
        <w:rPr>
          <w:rStyle w:val="ReferensiCatatanKaki"/>
          <w:rFonts w:cs="Traditional Arabic"/>
          <w:szCs w:val="36"/>
        </w:rPr>
        <w:footnoteReference w:id="33"/>
      </w:r>
      <w:r>
        <w:rPr>
          <w:rFonts w:cs="Traditional Arabic"/>
          <w:szCs w:val="36"/>
        </w:rPr>
        <w:t xml:space="preserve"> </w:t>
      </w:r>
      <w:r w:rsidRPr="002F07E1">
        <w:rPr>
          <w:rFonts w:cs="Traditional Arabic"/>
          <w:szCs w:val="36"/>
        </w:rPr>
        <w:t xml:space="preserve">She examines the ways in which the Quran adapts, modifies, and sometimes critiques these traditions to articulate its own theological and ethical teachings. </w:t>
      </w:r>
      <w:r w:rsidRPr="002F07E1">
        <w:rPr>
          <w:rFonts w:cs="Traditional Arabic"/>
          <w:szCs w:val="36"/>
        </w:rPr>
        <w:t>This process of reception and transformation is key to understanding the Quran's unique identity.</w:t>
      </w:r>
      <w:r>
        <w:rPr>
          <w:rStyle w:val="ReferensiCatatanKaki"/>
          <w:rFonts w:cs="Traditional Arabic"/>
          <w:szCs w:val="36"/>
        </w:rPr>
        <w:footnoteReference w:id="34"/>
      </w:r>
    </w:p>
    <w:p w14:paraId="6C3B8B32" w14:textId="42D118FC" w:rsidR="00CA7E4C" w:rsidRDefault="00CA7E4C" w:rsidP="00313D56">
      <w:pPr>
        <w:spacing w:line="360" w:lineRule="auto"/>
        <w:ind w:firstLine="567"/>
        <w:jc w:val="both"/>
        <w:rPr>
          <w:rFonts w:cs="Traditional Arabic"/>
          <w:szCs w:val="36"/>
          <w:lang w:val="id-ID"/>
        </w:rPr>
      </w:pPr>
      <w:r w:rsidRPr="00CA7E4C">
        <w:rPr>
          <w:rFonts w:cs="Traditional Arabic"/>
          <w:szCs w:val="36"/>
          <w:lang w:val="id-ID"/>
        </w:rPr>
        <w:t xml:space="preserve">Fazlur Rahman has </w:t>
      </w:r>
      <w:r w:rsidR="002F07E1">
        <w:rPr>
          <w:rFonts w:cs="Traditional Arabic"/>
          <w:szCs w:val="36"/>
          <w:lang w:val="id-ID"/>
        </w:rPr>
        <w:t xml:space="preserve">an </w:t>
      </w:r>
      <w:r w:rsidRPr="00CA7E4C">
        <w:rPr>
          <w:rFonts w:cs="Traditional Arabic"/>
          <w:szCs w:val="36"/>
          <w:lang w:val="id-ID"/>
        </w:rPr>
        <w:t>inclusive view</w:t>
      </w:r>
      <w:r w:rsidRPr="006F5102">
        <w:rPr>
          <w:rFonts w:ascii="Cambria" w:hAnsi="Cambria"/>
          <w:vertAlign w:val="superscript"/>
          <w:lang w:val="id-ID"/>
        </w:rPr>
        <w:footnoteReference w:id="35"/>
      </w:r>
      <w:r w:rsidRPr="00CA7E4C">
        <w:rPr>
          <w:rFonts w:cs="Traditional Arabic"/>
          <w:szCs w:val="36"/>
          <w:lang w:val="id-ID"/>
        </w:rPr>
        <w:t>, according to which the aspect of the Qur'an that should be emphasised is universal moral values, not specific legal decisions.</w:t>
      </w:r>
      <w:r w:rsidRPr="006F5102">
        <w:rPr>
          <w:rFonts w:ascii="Cambria" w:hAnsi="Cambria"/>
          <w:vertAlign w:val="superscript"/>
          <w:lang w:val="id-ID"/>
        </w:rPr>
        <w:footnoteReference w:id="36"/>
      </w:r>
      <w:r w:rsidRPr="00CA7E4C">
        <w:rPr>
          <w:rFonts w:cs="Traditional Arabic"/>
          <w:szCs w:val="36"/>
          <w:lang w:val="id-ID"/>
        </w:rPr>
        <w:t xml:space="preserve"> Neuwirth</w:t>
      </w:r>
      <w:r w:rsidRPr="006F5102">
        <w:rPr>
          <w:rFonts w:ascii="Cambria" w:hAnsi="Cambria"/>
          <w:vertAlign w:val="superscript"/>
          <w:lang w:val="id-ID"/>
        </w:rPr>
        <w:footnoteReference w:id="37"/>
      </w:r>
      <w:r w:rsidRPr="00CA7E4C">
        <w:rPr>
          <w:rFonts w:cs="Traditional Arabic"/>
          <w:szCs w:val="36"/>
          <w:lang w:val="id-ID"/>
        </w:rPr>
        <w:t xml:space="preserve"> also has a similar view, that moral values are the most distinctive aspect that distinguishes it from the Bible. Therefore, in addition to criticising the attitude of Muslim scholars who tend to be biased, she suggests an attitude to examine the previous teaching sources as a medium that reflects a communication process.</w:t>
      </w:r>
      <w:r w:rsidRPr="006F5102">
        <w:rPr>
          <w:rFonts w:ascii="Cambria" w:hAnsi="Cambria"/>
          <w:vertAlign w:val="superscript"/>
        </w:rPr>
        <w:footnoteReference w:id="38"/>
      </w:r>
    </w:p>
    <w:p w14:paraId="50872205" w14:textId="3786B5C1" w:rsidR="00CA7E4C" w:rsidRDefault="00D059AB" w:rsidP="00313D56">
      <w:pPr>
        <w:spacing w:line="360" w:lineRule="auto"/>
        <w:ind w:firstLine="567"/>
        <w:jc w:val="both"/>
        <w:rPr>
          <w:rFonts w:cs="Traditional Arabic"/>
          <w:szCs w:val="36"/>
          <w:lang w:val="id-ID"/>
        </w:rPr>
      </w:pPr>
      <w:r w:rsidRPr="00D059AB">
        <w:rPr>
          <w:rFonts w:cs="Traditional Arabic"/>
          <w:szCs w:val="36"/>
          <w:lang w:val="id-ID"/>
        </w:rPr>
        <w:t xml:space="preserve">The difference between al-Dzahabi and Neuwirth or Rahman basically implies a paradigm shift, from a theological paradigm to a hermeneutical paradigm. Abdul Mustaqim described the shift in the </w:t>
      </w:r>
      <w:r w:rsidRPr="00D059AB">
        <w:rPr>
          <w:rFonts w:cs="Traditional Arabic"/>
          <w:szCs w:val="36"/>
          <w:lang w:val="id-ID"/>
        </w:rPr>
        <w:lastRenderedPageBreak/>
        <w:t>paradigm of interpretation as a necessity for the changing times.</w:t>
      </w:r>
      <w:r w:rsidRPr="006F5102">
        <w:rPr>
          <w:rFonts w:ascii="Cambria" w:hAnsi="Cambria"/>
          <w:vertAlign w:val="superscript"/>
          <w:lang w:val="id-ID"/>
        </w:rPr>
        <w:footnoteReference w:id="39"/>
      </w:r>
      <w:r w:rsidRPr="00D059AB">
        <w:rPr>
          <w:rFonts w:cs="Traditional Arabic"/>
          <w:szCs w:val="36"/>
          <w:lang w:val="id-ID"/>
        </w:rPr>
        <w:t xml:space="preserve">  This shift has also occurred within orientalists, from the early generation of orientalists - such as Geiger, Luxenberg, and Wansbrough - to the contemporary generation - such as Boullata, Neuwirth, and Reynolds - there has been a shift from the paradigm of authenticity to the paradigm of historicity.</w:t>
      </w:r>
      <w:r w:rsidRPr="006F5102">
        <w:rPr>
          <w:rFonts w:ascii="Cambria" w:hAnsi="Cambria"/>
          <w:vertAlign w:val="superscript"/>
          <w:lang w:val="id-ID"/>
        </w:rPr>
        <w:footnoteReference w:id="40"/>
      </w:r>
    </w:p>
    <w:p w14:paraId="42B0607E" w14:textId="3BCE9075" w:rsidR="00D9524F" w:rsidRDefault="00D059AB" w:rsidP="00313D56">
      <w:pPr>
        <w:spacing w:line="360" w:lineRule="auto"/>
        <w:ind w:firstLine="567"/>
        <w:jc w:val="both"/>
        <w:rPr>
          <w:rFonts w:cs="Traditional Arabic"/>
          <w:szCs w:val="36"/>
          <w:lang w:val="id-ID"/>
        </w:rPr>
      </w:pPr>
      <w:r w:rsidRPr="00D059AB">
        <w:rPr>
          <w:rFonts w:cs="Traditional Arabic"/>
          <w:szCs w:val="36"/>
          <w:lang w:val="id-ID"/>
        </w:rPr>
        <w:t>Reynolds</w:t>
      </w:r>
      <w:r w:rsidRPr="006F5102">
        <w:rPr>
          <w:rFonts w:ascii="Cambria" w:hAnsi="Cambria"/>
          <w:vertAlign w:val="superscript"/>
        </w:rPr>
        <w:footnoteReference w:id="41"/>
      </w:r>
      <w:r w:rsidRPr="00D059AB">
        <w:rPr>
          <w:rFonts w:cs="Traditional Arabic"/>
          <w:szCs w:val="36"/>
          <w:lang w:val="id-ID"/>
        </w:rPr>
        <w:t xml:space="preserve"> is among the orientalists who disagree with his predecessor's extreme attitude in assessing the authenticity of the Qur'an, he agrees with Neuwirth on the atmosphere of Qur'anic studies which is </w:t>
      </w:r>
      <w:r w:rsidRPr="00D059AB">
        <w:rPr>
          <w:rFonts w:cs="Traditional Arabic"/>
          <w:i/>
          <w:iCs/>
          <w:szCs w:val="36"/>
          <w:lang w:val="id-ID"/>
        </w:rPr>
        <w:t>ein hoffnungsloses Chaos</w:t>
      </w:r>
      <w:r w:rsidRPr="00D059AB">
        <w:rPr>
          <w:rFonts w:cs="Traditional Arabic"/>
          <w:szCs w:val="36"/>
          <w:lang w:val="id-ID"/>
        </w:rPr>
        <w:t>, in futile chaos.</w:t>
      </w:r>
      <w:r w:rsidRPr="006F5102">
        <w:rPr>
          <w:rFonts w:ascii="Cambria" w:hAnsi="Cambria"/>
          <w:vertAlign w:val="superscript"/>
        </w:rPr>
        <w:footnoteReference w:id="42"/>
      </w:r>
      <w:r w:rsidRPr="00D059AB">
        <w:rPr>
          <w:rFonts w:cs="Traditional Arabic"/>
          <w:szCs w:val="36"/>
          <w:lang w:val="id-ID"/>
        </w:rPr>
        <w:t xml:space="preserve">  </w:t>
      </w:r>
    </w:p>
    <w:p w14:paraId="532BFDF9" w14:textId="62F842FF" w:rsidR="00D059AB" w:rsidRDefault="00D059AB" w:rsidP="00D9524F">
      <w:pPr>
        <w:spacing w:line="360" w:lineRule="auto"/>
        <w:ind w:firstLine="567"/>
        <w:jc w:val="both"/>
        <w:rPr>
          <w:rFonts w:cs="Traditional Arabic"/>
          <w:szCs w:val="36"/>
          <w:lang w:val="id-ID"/>
        </w:rPr>
      </w:pPr>
      <w:r w:rsidRPr="00D059AB">
        <w:rPr>
          <w:rFonts w:cs="Traditional Arabic"/>
          <w:szCs w:val="36"/>
          <w:lang w:val="id-ID"/>
        </w:rPr>
        <w:t xml:space="preserve">However, one's paradigm of the Qur'an still has an influence on interpretation. This cannot be separated from the orientalists' negation of “crucial” aspects in </w:t>
      </w:r>
      <w:r w:rsidRPr="00D9524F">
        <w:rPr>
          <w:rFonts w:cs="Traditional Arabic"/>
          <w:i/>
          <w:iCs/>
          <w:szCs w:val="36"/>
          <w:lang w:val="id-ID"/>
        </w:rPr>
        <w:t>ulūm al-</w:t>
      </w:r>
      <w:r w:rsidR="00D9524F">
        <w:rPr>
          <w:rFonts w:cs="Traditional Arabic"/>
          <w:i/>
          <w:iCs/>
          <w:szCs w:val="36"/>
          <w:lang w:val="id-ID"/>
        </w:rPr>
        <w:t>Q</w:t>
      </w:r>
      <w:r w:rsidRPr="00D9524F">
        <w:rPr>
          <w:rFonts w:cs="Traditional Arabic"/>
          <w:i/>
          <w:iCs/>
          <w:szCs w:val="36"/>
          <w:lang w:val="id-ID"/>
        </w:rPr>
        <w:t>ur'ān</w:t>
      </w:r>
      <w:r w:rsidRPr="00D059AB">
        <w:rPr>
          <w:rFonts w:cs="Traditional Arabic"/>
          <w:szCs w:val="36"/>
          <w:lang w:val="id-ID"/>
        </w:rPr>
        <w:t>. Such as Neuwirth</w:t>
      </w:r>
      <w:r w:rsidRPr="006F5102">
        <w:rPr>
          <w:rFonts w:ascii="Cambria" w:hAnsi="Cambria"/>
          <w:vertAlign w:val="superscript"/>
          <w:lang w:val="en-GB"/>
        </w:rPr>
        <w:footnoteReference w:id="43"/>
      </w:r>
      <w:r w:rsidRPr="00D059AB">
        <w:rPr>
          <w:rFonts w:cs="Traditional Arabic"/>
          <w:szCs w:val="36"/>
          <w:lang w:val="id-ID"/>
        </w:rPr>
        <w:t xml:space="preserve"> who does not use </w:t>
      </w:r>
      <w:r w:rsidRPr="00D9524F">
        <w:rPr>
          <w:rFonts w:cs="Traditional Arabic"/>
          <w:i/>
          <w:iCs/>
          <w:szCs w:val="36"/>
          <w:lang w:val="id-ID"/>
        </w:rPr>
        <w:t>sabab al-nuzūl</w:t>
      </w:r>
      <w:r w:rsidRPr="00D059AB">
        <w:rPr>
          <w:rFonts w:cs="Traditional Arabic"/>
          <w:szCs w:val="36"/>
          <w:lang w:val="id-ID"/>
        </w:rPr>
        <w:t xml:space="preserve"> as a chronological benchmark, as well as Reynolds</w:t>
      </w:r>
      <w:r w:rsidRPr="006F5102">
        <w:rPr>
          <w:rFonts w:ascii="Cambria" w:hAnsi="Cambria"/>
          <w:vertAlign w:val="superscript"/>
          <w:lang w:val="en-GB"/>
        </w:rPr>
        <w:footnoteReference w:id="44"/>
      </w:r>
      <w:r w:rsidRPr="00D059AB">
        <w:rPr>
          <w:rFonts w:cs="Traditional Arabic"/>
          <w:szCs w:val="36"/>
          <w:lang w:val="id-ID"/>
        </w:rPr>
        <w:t xml:space="preserve"> who rejects </w:t>
      </w:r>
      <w:r w:rsidRPr="00D9524F">
        <w:rPr>
          <w:rFonts w:cs="Traditional Arabic"/>
          <w:i/>
          <w:iCs/>
          <w:szCs w:val="36"/>
          <w:lang w:val="id-ID"/>
        </w:rPr>
        <w:t>sabab al-nuzūl</w:t>
      </w:r>
      <w:r w:rsidRPr="00D059AB">
        <w:rPr>
          <w:rFonts w:cs="Traditional Arabic"/>
          <w:szCs w:val="36"/>
          <w:lang w:val="id-ID"/>
        </w:rPr>
        <w:t xml:space="preserve"> traditions and negates the concept of </w:t>
      </w:r>
      <w:r w:rsidRPr="00D9524F">
        <w:rPr>
          <w:rFonts w:cs="Traditional Arabic"/>
          <w:i/>
          <w:iCs/>
          <w:szCs w:val="36"/>
          <w:lang w:val="id-ID"/>
        </w:rPr>
        <w:t>makiyah-madaniyah</w:t>
      </w:r>
      <w:r w:rsidRPr="00D059AB">
        <w:rPr>
          <w:rFonts w:cs="Traditional Arabic"/>
          <w:szCs w:val="36"/>
          <w:lang w:val="id-ID"/>
        </w:rPr>
        <w:t>. This is a consequence of the discourse of the Qur'an as an academic object, which provides a distance between the Qur'an as text and revelation.</w:t>
      </w:r>
    </w:p>
    <w:p w14:paraId="13E810E5" w14:textId="710F740F" w:rsidR="00D059AB" w:rsidRPr="00313D56" w:rsidRDefault="00C93902" w:rsidP="00313D56">
      <w:pPr>
        <w:spacing w:line="360" w:lineRule="auto"/>
        <w:ind w:firstLine="567"/>
        <w:jc w:val="both"/>
        <w:rPr>
          <w:rFonts w:cs="Traditional Arabic"/>
          <w:szCs w:val="36"/>
          <w:lang w:val="id-ID"/>
        </w:rPr>
      </w:pPr>
      <w:r>
        <w:rPr>
          <w:noProof/>
        </w:rPr>
        <w:lastRenderedPageBreak/>
        <w:drawing>
          <wp:anchor distT="0" distB="0" distL="114300" distR="114300" simplePos="0" relativeHeight="251660800" behindDoc="0" locked="0" layoutInCell="1" allowOverlap="1" wp14:anchorId="7A1CC622" wp14:editId="6F5FD15A">
            <wp:simplePos x="0" y="0"/>
            <wp:positionH relativeFrom="column">
              <wp:posOffset>-57785</wp:posOffset>
            </wp:positionH>
            <wp:positionV relativeFrom="paragraph">
              <wp:posOffset>762000</wp:posOffset>
            </wp:positionV>
            <wp:extent cx="5076190" cy="3757930"/>
            <wp:effectExtent l="0" t="0" r="0" b="0"/>
            <wp:wrapTopAndBottom/>
            <wp:docPr id="196132654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26545" name="Gambar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076190" cy="3757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pict w14:anchorId="01DD6E14">
          <v:shapetype id="_x0000_t202" coordsize="21600,21600" o:spt="202" path="m,l,21600r21600,l21600,xe">
            <v:stroke joinstyle="miter"/>
            <v:path gradientshapeok="t" o:connecttype="rect"/>
          </v:shapetype>
          <v:shape id="_x0000_s2050" type="#_x0000_t202" style="position:absolute;left:0;text-align:left;margin-left:-.35pt;margin-top:369.7pt;width:396.65pt;height:20.35pt;z-index:251660288;mso-position-horizontal-relative:text;mso-position-vertical-relative:text" stroked="f">
            <v:textbox style="mso-next-textbox:#_x0000_s2050;mso-fit-shape-to-text:t" inset="0,0,0,0">
              <w:txbxContent>
                <w:p w14:paraId="26D4B46F" w14:textId="7D9CFBE1" w:rsidR="00E56983" w:rsidRPr="00D16C2B" w:rsidRDefault="00E56983" w:rsidP="00E56983">
                  <w:pPr>
                    <w:pStyle w:val="Keterangan"/>
                    <w:jc w:val="center"/>
                    <w:rPr>
                      <w:noProof/>
                      <w:color w:val="auto"/>
                    </w:rPr>
                  </w:pPr>
                  <w:r w:rsidRPr="00D16C2B">
                    <w:rPr>
                      <w:color w:val="auto"/>
                    </w:rPr>
                    <w:t xml:space="preserve">Chart </w:t>
                  </w:r>
                  <w:r w:rsidRPr="00D16C2B">
                    <w:rPr>
                      <w:color w:val="auto"/>
                    </w:rPr>
                    <w:fldChar w:fldCharType="begin"/>
                  </w:r>
                  <w:r w:rsidRPr="00D16C2B">
                    <w:rPr>
                      <w:color w:val="auto"/>
                    </w:rPr>
                    <w:instrText xml:space="preserve"> SEQ Bagan \* ARABIC </w:instrText>
                  </w:r>
                  <w:r w:rsidRPr="00D16C2B">
                    <w:rPr>
                      <w:color w:val="auto"/>
                    </w:rPr>
                    <w:fldChar w:fldCharType="separate"/>
                  </w:r>
                  <w:r w:rsidRPr="00D16C2B">
                    <w:rPr>
                      <w:noProof/>
                      <w:color w:val="auto"/>
                    </w:rPr>
                    <w:t>1</w:t>
                  </w:r>
                  <w:r w:rsidRPr="00D16C2B">
                    <w:rPr>
                      <w:color w:val="auto"/>
                    </w:rPr>
                    <w:fldChar w:fldCharType="end"/>
                  </w:r>
                  <w:r w:rsidRPr="00D16C2B">
                    <w:rPr>
                      <w:color w:val="auto"/>
                    </w:rPr>
                    <w:t>.1 Elaborative Paradigm of Intertextual Reading</w:t>
                  </w:r>
                </w:p>
              </w:txbxContent>
            </v:textbox>
            <w10:wrap type="topAndBottom"/>
          </v:shape>
        </w:pict>
      </w:r>
      <w:r w:rsidR="00D059AB" w:rsidRPr="00D059AB">
        <w:rPr>
          <w:rFonts w:cs="Traditional Arabic"/>
          <w:szCs w:val="36"/>
          <w:lang w:val="id-ID"/>
        </w:rPr>
        <w:t xml:space="preserve">Regardless of the differences in paradigms above, intertextual reading must still be built on the concepts of </w:t>
      </w:r>
      <w:r w:rsidR="00D059AB" w:rsidRPr="00D9524F">
        <w:rPr>
          <w:rFonts w:cs="Traditional Arabic"/>
          <w:i/>
          <w:iCs/>
          <w:szCs w:val="36"/>
          <w:lang w:val="id-ID"/>
        </w:rPr>
        <w:t>ulūm al-qur'ān</w:t>
      </w:r>
      <w:r w:rsidR="00D059AB" w:rsidRPr="00D059AB">
        <w:rPr>
          <w:rFonts w:cs="Traditional Arabic"/>
          <w:szCs w:val="36"/>
          <w:lang w:val="id-ID"/>
        </w:rPr>
        <w:t xml:space="preserve">. This article does not position itself like orientalists who see the Qur'an as non-revelation, because this has implications for the negation of crucial aspects of </w:t>
      </w:r>
      <w:r w:rsidR="00D059AB" w:rsidRPr="00D9524F">
        <w:rPr>
          <w:rFonts w:cs="Traditional Arabic"/>
          <w:i/>
          <w:iCs/>
          <w:szCs w:val="36"/>
          <w:lang w:val="id-ID"/>
        </w:rPr>
        <w:t>ulūm al-qur'ān</w:t>
      </w:r>
      <w:r w:rsidR="00D059AB" w:rsidRPr="00D059AB">
        <w:rPr>
          <w:rFonts w:cs="Traditional Arabic"/>
          <w:szCs w:val="36"/>
          <w:lang w:val="id-ID"/>
        </w:rPr>
        <w:t>, nor does it only see previous books through the original-imitation</w:t>
      </w:r>
      <w:r w:rsidR="00D9524F">
        <w:rPr>
          <w:rFonts w:cs="Traditional Arabic"/>
          <w:szCs w:val="36"/>
          <w:lang w:val="id-ID"/>
        </w:rPr>
        <w:t xml:space="preserve"> view</w:t>
      </w:r>
      <w:r w:rsidR="00D059AB" w:rsidRPr="00D059AB">
        <w:rPr>
          <w:rFonts w:cs="Traditional Arabic"/>
          <w:szCs w:val="36"/>
          <w:lang w:val="id-ID"/>
        </w:rPr>
        <w:t xml:space="preserve">. However, it tries to combine al-Dzahabi's </w:t>
      </w:r>
      <w:r w:rsidR="00B94420">
        <w:rPr>
          <w:rFonts w:cs="Traditional Arabic"/>
          <w:szCs w:val="36"/>
          <w:lang w:val="id-ID"/>
        </w:rPr>
        <w:t>selective</w:t>
      </w:r>
      <w:r w:rsidR="00D059AB" w:rsidRPr="00D059AB">
        <w:rPr>
          <w:rFonts w:cs="Traditional Arabic"/>
          <w:szCs w:val="36"/>
          <w:lang w:val="id-ID"/>
        </w:rPr>
        <w:t xml:space="preserve"> </w:t>
      </w:r>
      <w:r w:rsidR="00E56983">
        <w:rPr>
          <w:rFonts w:cs="Traditional Arabic"/>
          <w:szCs w:val="36"/>
          <w:lang w:val="id-ID"/>
        </w:rPr>
        <w:t>paradigm</w:t>
      </w:r>
      <w:r w:rsidR="00D059AB" w:rsidRPr="00D059AB">
        <w:rPr>
          <w:rFonts w:cs="Traditional Arabic"/>
          <w:szCs w:val="36"/>
          <w:lang w:val="id-ID"/>
        </w:rPr>
        <w:t xml:space="preserve"> and Neuwirth's </w:t>
      </w:r>
      <w:r w:rsidR="00B94420">
        <w:rPr>
          <w:rFonts w:cs="Traditional Arabic"/>
          <w:szCs w:val="36"/>
          <w:lang w:val="id-ID"/>
        </w:rPr>
        <w:t xml:space="preserve">communicative </w:t>
      </w:r>
      <w:r w:rsidR="00E56983">
        <w:rPr>
          <w:rFonts w:cs="Traditional Arabic"/>
          <w:szCs w:val="36"/>
          <w:lang w:val="id-ID"/>
        </w:rPr>
        <w:t>paradigm</w:t>
      </w:r>
      <w:r w:rsidR="00D059AB" w:rsidRPr="00D059AB">
        <w:rPr>
          <w:rFonts w:cs="Traditional Arabic"/>
          <w:szCs w:val="36"/>
          <w:lang w:val="id-ID"/>
        </w:rPr>
        <w:t>. This means that the Qur'an is still positioned as the ultimate revelation of the previous scriptures with the function of affirmation and correction, while placing the Qur'an as a historical document with its communicative function towards the reality that occurred at the time of its appearance.</w:t>
      </w:r>
      <w:r w:rsidR="00E56983" w:rsidRPr="00E56983">
        <w:t xml:space="preserve"> </w:t>
      </w:r>
    </w:p>
    <w:p w14:paraId="1C6951F8" w14:textId="7858909E" w:rsidR="00094A44" w:rsidRPr="006B10FA" w:rsidRDefault="00D059AB" w:rsidP="00D9524F">
      <w:pPr>
        <w:pStyle w:val="Judul1"/>
        <w:jc w:val="both"/>
        <w:rPr>
          <w:rFonts w:asciiTheme="majorBidi" w:hAnsiTheme="majorBidi"/>
          <w:b/>
          <w:bCs/>
          <w:i/>
          <w:iCs/>
          <w:color w:val="auto"/>
          <w:sz w:val="24"/>
          <w:szCs w:val="24"/>
        </w:rPr>
      </w:pPr>
      <w:r w:rsidRPr="006B10FA">
        <w:rPr>
          <w:rFonts w:asciiTheme="majorBidi" w:hAnsiTheme="majorBidi"/>
          <w:b/>
          <w:bCs/>
          <w:color w:val="auto"/>
          <w:sz w:val="24"/>
          <w:szCs w:val="24"/>
        </w:rPr>
        <w:lastRenderedPageBreak/>
        <w:t>The Mufasirs' Views on Qs. Al-Maidah: 32-33</w:t>
      </w:r>
    </w:p>
    <w:p w14:paraId="0F7A592F" w14:textId="198FC30D" w:rsidR="005924C1" w:rsidRDefault="00D059AB" w:rsidP="007B361B">
      <w:pPr>
        <w:spacing w:line="360" w:lineRule="auto"/>
        <w:ind w:firstLine="567"/>
        <w:jc w:val="both"/>
        <w:rPr>
          <w:rFonts w:cs="Traditional Arabic"/>
          <w:szCs w:val="36"/>
          <w:lang w:val="id-ID"/>
        </w:rPr>
      </w:pPr>
      <w:r w:rsidRPr="00D059AB">
        <w:rPr>
          <w:rFonts w:cs="Traditional Arabic"/>
          <w:szCs w:val="36"/>
        </w:rPr>
        <w:t>Q</w:t>
      </w:r>
      <w:r w:rsidR="00DD36CA">
        <w:rPr>
          <w:rFonts w:cs="Traditional Arabic"/>
          <w:szCs w:val="36"/>
        </w:rPr>
        <w:t>s</w:t>
      </w:r>
      <w:r w:rsidRPr="00D059AB">
        <w:rPr>
          <w:rFonts w:cs="Traditional Arabic"/>
          <w:szCs w:val="36"/>
        </w:rPr>
        <w:t xml:space="preserve"> </w:t>
      </w:r>
      <w:r w:rsidR="00DD36CA">
        <w:rPr>
          <w:rFonts w:cs="Traditional Arabic"/>
          <w:szCs w:val="36"/>
        </w:rPr>
        <w:t>al-Maidah</w:t>
      </w:r>
      <w:r w:rsidRPr="00D059AB">
        <w:rPr>
          <w:rFonts w:cs="Traditional Arabic"/>
          <w:szCs w:val="36"/>
        </w:rPr>
        <w:t>:</w:t>
      </w:r>
      <w:r w:rsidR="003916B4">
        <w:rPr>
          <w:rFonts w:cs="Traditional Arabic"/>
          <w:szCs w:val="36"/>
        </w:rPr>
        <w:t xml:space="preserve"> </w:t>
      </w:r>
      <w:r w:rsidRPr="00D059AB">
        <w:rPr>
          <w:rFonts w:cs="Traditional Arabic"/>
          <w:szCs w:val="36"/>
        </w:rPr>
        <w:t xml:space="preserve">32-34 has </w:t>
      </w:r>
      <w:r w:rsidRPr="00D059AB">
        <w:rPr>
          <w:rFonts w:cs="Traditional Arabic"/>
          <w:i/>
          <w:iCs/>
          <w:szCs w:val="36"/>
        </w:rPr>
        <w:t>munāsabah</w:t>
      </w:r>
      <w:r w:rsidRPr="006F5102">
        <w:rPr>
          <w:rFonts w:ascii="Cambria" w:hAnsi="Cambria"/>
          <w:vertAlign w:val="superscript"/>
          <w:lang w:val="id-ID"/>
        </w:rPr>
        <w:footnoteReference w:id="45"/>
      </w:r>
      <w:r w:rsidRPr="00D059AB">
        <w:rPr>
          <w:rFonts w:cs="Traditional Arabic"/>
          <w:szCs w:val="36"/>
        </w:rPr>
        <w:t xml:space="preserve"> (correlative relationship) with the previous group of verses about the killing of Abel by Qabil. </w:t>
      </w:r>
      <w:r w:rsidR="00D9524F">
        <w:rPr>
          <w:rFonts w:cs="Traditional Arabic"/>
          <w:szCs w:val="36"/>
        </w:rPr>
        <w:t>The wording</w:t>
      </w:r>
      <w:r w:rsidRPr="00D059AB">
        <w:rPr>
          <w:rFonts w:cs="Traditional Arabic"/>
          <w:szCs w:val="36"/>
        </w:rPr>
        <w:t xml:space="preserve"> </w:t>
      </w:r>
      <w:r w:rsidRPr="00D9524F">
        <w:rPr>
          <w:rFonts w:cs="Traditional Arabic"/>
          <w:i/>
          <w:iCs/>
          <w:szCs w:val="36"/>
        </w:rPr>
        <w:t>min ajli dhālik</w:t>
      </w:r>
      <w:r w:rsidRPr="00D059AB">
        <w:rPr>
          <w:rFonts w:cs="Traditional Arabic"/>
          <w:szCs w:val="36"/>
        </w:rPr>
        <w:t xml:space="preserve"> is interpreted as a sign that the story of Abel's murder by Qabil is the reason or cause for the establishment of the law of killing for the Children of Isra'il, that whoever kills a person not because (the person killed) has killed another person or because he has done damage to the earth, then it is as if he has killed all human beings. Conversely, whoever preserves the life of one human </w:t>
      </w:r>
      <w:r w:rsidRPr="00D059AB">
        <w:rPr>
          <w:rFonts w:cs="Traditional Arabic"/>
          <w:szCs w:val="36"/>
        </w:rPr>
        <w:t>being, it is as if he has preserved the life of all human beings.</w:t>
      </w:r>
      <w:r w:rsidR="00D239C2" w:rsidRPr="008D28FF">
        <w:rPr>
          <w:rFonts w:cs="Traditional Arabic"/>
          <w:szCs w:val="36"/>
          <w:lang w:val="id-ID"/>
        </w:rPr>
        <w:t xml:space="preserve"> </w:t>
      </w:r>
    </w:p>
    <w:p w14:paraId="63BC1B7E" w14:textId="06EF2D21" w:rsidR="00CF6325" w:rsidRDefault="005527EB" w:rsidP="00EA09E8">
      <w:pPr>
        <w:spacing w:line="360" w:lineRule="auto"/>
        <w:ind w:firstLine="567"/>
        <w:jc w:val="both"/>
        <w:rPr>
          <w:rFonts w:cs="Traditional Arabic"/>
          <w:szCs w:val="36"/>
          <w:lang w:val="id-ID"/>
        </w:rPr>
      </w:pPr>
      <w:r w:rsidRPr="005527EB">
        <w:rPr>
          <w:rFonts w:cs="Traditional Arabic"/>
          <w:szCs w:val="36"/>
          <w:lang w:val="id-ID"/>
        </w:rPr>
        <w:t>Al-Rāzi</w:t>
      </w:r>
      <w:r w:rsidRPr="006F5102">
        <w:rPr>
          <w:rFonts w:ascii="Cambria" w:hAnsi="Cambria"/>
          <w:vertAlign w:val="superscript"/>
          <w:lang w:val="en-GB"/>
        </w:rPr>
        <w:footnoteReference w:id="46"/>
      </w:r>
      <w:r w:rsidRPr="005527EB">
        <w:rPr>
          <w:rFonts w:cs="Traditional Arabic"/>
          <w:szCs w:val="36"/>
          <w:lang w:val="id-ID"/>
        </w:rPr>
        <w:t xml:space="preserve"> does not see any correlation between the two verses, that the stipulation of the law of murder - in al-Razi's language, qisas - is a universal law for all people, not just the Children of Israel. Al-Rāzi's argument </w:t>
      </w:r>
      <w:r w:rsidR="00DD36CA">
        <w:rPr>
          <w:rFonts w:cs="Traditional Arabic"/>
          <w:szCs w:val="36"/>
          <w:lang w:val="id-ID"/>
        </w:rPr>
        <w:t>on</w:t>
      </w:r>
      <w:r w:rsidRPr="005527EB">
        <w:rPr>
          <w:rFonts w:cs="Traditional Arabic"/>
          <w:szCs w:val="36"/>
          <w:lang w:val="id-ID"/>
        </w:rPr>
        <w:t xml:space="preserve"> the correlation of the law of murder with the Children of Israel is their historical background as a people who are considered to have killed the most prophets. Similar opinions were also expressed by al-Biqa'i</w:t>
      </w:r>
      <w:r w:rsidRPr="006F5102">
        <w:rPr>
          <w:rFonts w:ascii="Cambria" w:hAnsi="Cambria"/>
          <w:vertAlign w:val="superscript"/>
          <w:lang w:val="en-GB"/>
        </w:rPr>
        <w:footnoteReference w:id="47"/>
      </w:r>
      <w:r w:rsidRPr="005527EB">
        <w:rPr>
          <w:rFonts w:cs="Traditional Arabic"/>
          <w:szCs w:val="36"/>
          <w:lang w:val="id-ID"/>
        </w:rPr>
        <w:t xml:space="preserve"> and al-Qurtubi</w:t>
      </w:r>
      <w:r>
        <w:rPr>
          <w:rFonts w:cs="Traditional Arabic"/>
          <w:szCs w:val="36"/>
          <w:lang w:val="id-ID"/>
        </w:rPr>
        <w:t>.</w:t>
      </w:r>
      <w:r w:rsidRPr="006F5102">
        <w:rPr>
          <w:rFonts w:ascii="Cambria" w:hAnsi="Cambria"/>
          <w:vertAlign w:val="superscript"/>
          <w:lang w:val="en-GB"/>
        </w:rPr>
        <w:footnoteReference w:id="48"/>
      </w:r>
      <w:r w:rsidRPr="005527EB">
        <w:rPr>
          <w:rFonts w:cs="Traditional Arabic"/>
          <w:szCs w:val="36"/>
          <w:lang w:val="id-ID"/>
        </w:rPr>
        <w:t xml:space="preserve"> Furthermore, the three mufasirs argue</w:t>
      </w:r>
      <w:r w:rsidR="00DD36CA">
        <w:rPr>
          <w:rFonts w:cs="Traditional Arabic"/>
          <w:szCs w:val="36"/>
          <w:lang w:val="id-ID"/>
        </w:rPr>
        <w:t>d</w:t>
      </w:r>
      <w:r w:rsidRPr="005527EB">
        <w:rPr>
          <w:rFonts w:cs="Traditional Arabic"/>
          <w:szCs w:val="36"/>
          <w:lang w:val="id-ID"/>
        </w:rPr>
        <w:t xml:space="preserve"> that verse 32 was revealed as a satire to the Children of Israel. </w:t>
      </w:r>
      <w:r w:rsidR="00DD36CA">
        <w:rPr>
          <w:rFonts w:cs="Traditional Arabic"/>
          <w:szCs w:val="36"/>
          <w:lang w:val="id-ID"/>
        </w:rPr>
        <w:t xml:space="preserve">Muhammad Izzat </w:t>
      </w:r>
      <w:r w:rsidRPr="005527EB">
        <w:rPr>
          <w:rFonts w:cs="Traditional Arabic"/>
          <w:szCs w:val="36"/>
          <w:lang w:val="id-ID"/>
        </w:rPr>
        <w:t>Darwazah</w:t>
      </w:r>
      <w:r w:rsidRPr="006F5102">
        <w:rPr>
          <w:rFonts w:ascii="Cambria" w:hAnsi="Cambria"/>
          <w:vertAlign w:val="superscript"/>
          <w:lang w:val="en-GB"/>
        </w:rPr>
        <w:footnoteReference w:id="49"/>
      </w:r>
      <w:r w:rsidRPr="005527EB">
        <w:rPr>
          <w:rFonts w:cs="Traditional Arabic"/>
          <w:szCs w:val="36"/>
          <w:lang w:val="id-ID"/>
        </w:rPr>
        <w:t xml:space="preserve"> claim</w:t>
      </w:r>
      <w:r w:rsidR="00DD36CA">
        <w:rPr>
          <w:rFonts w:cs="Traditional Arabic"/>
          <w:szCs w:val="36"/>
          <w:lang w:val="id-ID"/>
        </w:rPr>
        <w:t>ed</w:t>
      </w:r>
      <w:r w:rsidRPr="005527EB">
        <w:rPr>
          <w:rFonts w:cs="Traditional Arabic"/>
          <w:szCs w:val="36"/>
          <w:lang w:val="id-ID"/>
        </w:rPr>
        <w:t xml:space="preserve"> that the insinuation relates to the Jews in Medina, which chronologically, verse 32 was </w:t>
      </w:r>
      <w:r w:rsidRPr="005527EB">
        <w:rPr>
          <w:rFonts w:cs="Traditional Arabic"/>
          <w:szCs w:val="36"/>
          <w:lang w:val="id-ID"/>
        </w:rPr>
        <w:lastRenderedPageBreak/>
        <w:t>revealed before the expulsion of the Jewish group</w:t>
      </w:r>
      <w:r w:rsidR="00DD36CA">
        <w:rPr>
          <w:rFonts w:cs="Traditional Arabic"/>
          <w:szCs w:val="36"/>
          <w:lang w:val="id-ID"/>
        </w:rPr>
        <w:t>,</w:t>
      </w:r>
      <w:r w:rsidRPr="005527EB">
        <w:rPr>
          <w:rFonts w:cs="Traditional Arabic"/>
          <w:szCs w:val="36"/>
          <w:lang w:val="id-ID"/>
        </w:rPr>
        <w:t xml:space="preserve"> Banu Quraizah.</w:t>
      </w:r>
      <w:r w:rsidRPr="006F5102">
        <w:rPr>
          <w:rFonts w:ascii="Cambria" w:hAnsi="Cambria"/>
          <w:vertAlign w:val="superscript"/>
          <w:lang w:val="en-GB"/>
        </w:rPr>
        <w:footnoteReference w:id="50"/>
      </w:r>
    </w:p>
    <w:p w14:paraId="23167264" w14:textId="766E24A4" w:rsidR="00431432" w:rsidRDefault="00431432" w:rsidP="00EA09E8">
      <w:pPr>
        <w:spacing w:line="360" w:lineRule="auto"/>
        <w:ind w:firstLine="567"/>
        <w:jc w:val="both"/>
        <w:rPr>
          <w:rFonts w:cs="Traditional Arabic"/>
          <w:szCs w:val="36"/>
          <w:lang w:val="id-ID"/>
        </w:rPr>
      </w:pPr>
      <w:r w:rsidRPr="00431432">
        <w:rPr>
          <w:rFonts w:cs="Traditional Arabic"/>
          <w:szCs w:val="36"/>
          <w:lang w:val="id-ID"/>
        </w:rPr>
        <w:t>Darwazah mention</w:t>
      </w:r>
      <w:r w:rsidR="00DD36CA">
        <w:rPr>
          <w:rFonts w:cs="Traditional Arabic"/>
          <w:szCs w:val="36"/>
          <w:lang w:val="id-ID"/>
        </w:rPr>
        <w:t>ed</w:t>
      </w:r>
      <w:r w:rsidRPr="00431432">
        <w:rPr>
          <w:rFonts w:cs="Traditional Arabic"/>
          <w:szCs w:val="36"/>
          <w:lang w:val="id-ID"/>
        </w:rPr>
        <w:t xml:space="preserve"> the composition of Surah al-Ma'idah which generally consists of aspects of </w:t>
      </w:r>
      <w:r w:rsidR="00DD36CA">
        <w:rPr>
          <w:rFonts w:cs="Traditional Arabic"/>
          <w:szCs w:val="36"/>
          <w:lang w:val="id-ID"/>
        </w:rPr>
        <w:t xml:space="preserve">sharia </w:t>
      </w:r>
      <w:r w:rsidRPr="00431432">
        <w:rPr>
          <w:rFonts w:cs="Traditional Arabic"/>
          <w:szCs w:val="36"/>
          <w:lang w:val="id-ID"/>
        </w:rPr>
        <w:t>law and inter-religious issues, in this case the Jews and Christians. In the coming verses, the Qur'an explicitly says that the polytheists and especially the Jews are the group of people who are most hostile to Islam.</w:t>
      </w:r>
      <w:r w:rsidRPr="006F5102">
        <w:rPr>
          <w:rFonts w:ascii="Cambria" w:hAnsi="Cambria"/>
          <w:vertAlign w:val="superscript"/>
          <w:lang w:val="en-GB"/>
        </w:rPr>
        <w:footnoteReference w:id="51"/>
      </w:r>
      <w:r w:rsidRPr="00431432">
        <w:rPr>
          <w:rFonts w:cs="Traditional Arabic"/>
          <w:szCs w:val="36"/>
          <w:lang w:val="id-ID"/>
        </w:rPr>
        <w:t xml:space="preserve">  In addition, Darwazah</w:t>
      </w:r>
      <w:r w:rsidRPr="006F5102">
        <w:rPr>
          <w:rFonts w:ascii="Cambria" w:hAnsi="Cambria"/>
          <w:vertAlign w:val="superscript"/>
          <w:lang w:val="en-GB"/>
        </w:rPr>
        <w:footnoteReference w:id="52"/>
      </w:r>
      <w:r w:rsidRPr="00431432">
        <w:rPr>
          <w:rFonts w:cs="Traditional Arabic"/>
          <w:szCs w:val="36"/>
          <w:lang w:val="id-ID"/>
        </w:rPr>
        <w:t xml:space="preserve"> quote</w:t>
      </w:r>
      <w:r w:rsidR="00DD36CA">
        <w:rPr>
          <w:rFonts w:cs="Traditional Arabic"/>
          <w:szCs w:val="36"/>
          <w:lang w:val="id-ID"/>
        </w:rPr>
        <w:t>d</w:t>
      </w:r>
      <w:r w:rsidRPr="00431432">
        <w:rPr>
          <w:rFonts w:cs="Traditional Arabic"/>
          <w:szCs w:val="36"/>
          <w:lang w:val="id-ID"/>
        </w:rPr>
        <w:t xml:space="preserve"> the opinion of al-Hasan al-Baṣri on the question ‘is the verse intended for Muslims as it was intended for the Children of Israel?’. Al-Hasan tends to give a different answer to the question, ‘Allah did not make the blood of the Children of Israel more honourable than our blood’. Based on the general content of the Surah, its historical context, and al-Ḥasan's impression, it is more accurate to say that verse 32 is an allusion to the Jews of Medina and indirectly points to a problem between Islam and the Jews at that time.</w:t>
      </w:r>
    </w:p>
    <w:p w14:paraId="61573ECE" w14:textId="361FC33C" w:rsidR="00431432" w:rsidRPr="00431432" w:rsidRDefault="00431432" w:rsidP="00EA09E8">
      <w:pPr>
        <w:spacing w:line="360" w:lineRule="auto"/>
        <w:ind w:firstLine="567"/>
        <w:jc w:val="both"/>
        <w:rPr>
          <w:rFonts w:cs="Traditional Arabic"/>
          <w:szCs w:val="36"/>
          <w:lang w:val="id-ID"/>
        </w:rPr>
      </w:pPr>
      <w:r w:rsidRPr="00431432">
        <w:rPr>
          <w:rFonts w:cs="Traditional Arabic"/>
          <w:szCs w:val="36"/>
          <w:lang w:val="id-ID"/>
        </w:rPr>
        <w:t>Although the general historical context of verse 32 concerns the Jews of Medina, the hadith-reports that set the momentum for the verse's revelation are quite different. Al-Tabari</w:t>
      </w:r>
      <w:r w:rsidRPr="006F5102">
        <w:rPr>
          <w:rFonts w:ascii="Cambria" w:hAnsi="Cambria"/>
          <w:vertAlign w:val="superscript"/>
          <w:lang w:val="en-GB"/>
        </w:rPr>
        <w:footnoteReference w:id="53"/>
      </w:r>
      <w:r w:rsidRPr="00431432">
        <w:rPr>
          <w:rFonts w:cs="Traditional Arabic"/>
          <w:szCs w:val="36"/>
          <w:lang w:val="id-ID"/>
        </w:rPr>
        <w:t xml:space="preserve"> has selected many narrations and concluded that Qs. al-Maidah: 33 was revealed after the incident of the people of Urainah who were sentenced to qiṣāṣ. Although there are many narrations that say that the verse was revealed before the incident, al-Ṭabari chose the narration that he thought better accommodated the difference between the punishment received by the Urainahs and verse 33.</w:t>
      </w:r>
    </w:p>
    <w:p w14:paraId="28BF49EB" w14:textId="77777777" w:rsidR="00EA09E8" w:rsidRPr="00EA09E8" w:rsidRDefault="00EA09E8" w:rsidP="00EA09E8">
      <w:pPr>
        <w:spacing w:line="360" w:lineRule="auto"/>
        <w:ind w:firstLine="567"/>
        <w:jc w:val="both"/>
        <w:rPr>
          <w:rFonts w:cs="Traditional Arabic"/>
          <w:szCs w:val="36"/>
          <w:lang w:val="id-ID"/>
        </w:rPr>
      </w:pPr>
      <w:r w:rsidRPr="00EA09E8">
        <w:rPr>
          <w:rFonts w:cs="Traditional Arabic"/>
          <w:szCs w:val="36"/>
          <w:lang w:val="id-ID"/>
        </w:rPr>
        <w:t xml:space="preserve">The narration problem stems from the punishment of ‘eye gouging’ which is not stated in the text of verse 33. </w:t>
      </w:r>
    </w:p>
    <w:p w14:paraId="4D837DA2" w14:textId="6126CA87" w:rsidR="00EA09E8" w:rsidRPr="00EA09E8" w:rsidRDefault="00EA09E8" w:rsidP="00EA09E8">
      <w:pPr>
        <w:ind w:left="567"/>
        <w:jc w:val="both"/>
        <w:rPr>
          <w:rFonts w:cs="Traditional Arabic"/>
          <w:szCs w:val="36"/>
          <w:lang w:val="id-ID"/>
        </w:rPr>
      </w:pPr>
      <w:r w:rsidRPr="00EA09E8">
        <w:rPr>
          <w:rFonts w:cs="Traditional Arabic"/>
          <w:szCs w:val="36"/>
          <w:lang w:val="id-ID"/>
        </w:rPr>
        <w:t xml:space="preserve">‘The recompense for those who fight against Allah and His messenger and cause mischief on earth is only death, crucifixion, cutting off their hands and feet crosswise, or exile from their homes. Such will be their humiliation in this </w:t>
      </w:r>
      <w:r w:rsidRPr="00EA09E8">
        <w:rPr>
          <w:rFonts w:cs="Traditional Arabic"/>
          <w:szCs w:val="36"/>
          <w:lang w:val="id-ID"/>
        </w:rPr>
        <w:lastRenderedPageBreak/>
        <w:t>world, and their punishment in the Hereafter will be severe’.</w:t>
      </w:r>
      <w:r w:rsidRPr="006F5102">
        <w:rPr>
          <w:rFonts w:ascii="Cambria" w:hAnsi="Cambria"/>
          <w:vertAlign w:val="superscript"/>
          <w:lang w:val="id-ID"/>
        </w:rPr>
        <w:footnoteReference w:id="54"/>
      </w:r>
      <w:r w:rsidRPr="00EA09E8">
        <w:rPr>
          <w:rFonts w:cs="Traditional Arabic"/>
          <w:szCs w:val="36"/>
          <w:lang w:val="id-ID"/>
        </w:rPr>
        <w:t xml:space="preserve">  </w:t>
      </w:r>
    </w:p>
    <w:p w14:paraId="487791B5" w14:textId="77777777" w:rsidR="00EA09E8" w:rsidRPr="00EA09E8" w:rsidRDefault="00EA09E8" w:rsidP="00EA09E8">
      <w:pPr>
        <w:spacing w:line="360" w:lineRule="auto"/>
        <w:ind w:firstLine="567"/>
        <w:jc w:val="both"/>
        <w:rPr>
          <w:rFonts w:cs="Traditional Arabic"/>
          <w:szCs w:val="36"/>
          <w:lang w:val="id-ID"/>
        </w:rPr>
      </w:pPr>
      <w:r w:rsidRPr="00EA09E8">
        <w:rPr>
          <w:rFonts w:cs="Traditional Arabic"/>
          <w:szCs w:val="36"/>
          <w:lang w:val="id-ID"/>
        </w:rPr>
        <w:t xml:space="preserve">In contrast to the substance of the hadith reported by Anas ibn Malik, he said: </w:t>
      </w:r>
    </w:p>
    <w:p w14:paraId="2E1DAF23" w14:textId="2AC520E8" w:rsidR="00EA09E8" w:rsidRPr="00EA09E8" w:rsidRDefault="00EA09E8" w:rsidP="00EA09E8">
      <w:pPr>
        <w:ind w:left="567"/>
        <w:jc w:val="both"/>
        <w:rPr>
          <w:rFonts w:cs="Traditional Arabic"/>
          <w:szCs w:val="36"/>
          <w:lang w:val="id-ID"/>
        </w:rPr>
      </w:pPr>
      <w:r w:rsidRPr="00EA09E8">
        <w:rPr>
          <w:rFonts w:cs="Traditional Arabic"/>
          <w:szCs w:val="36"/>
          <w:lang w:val="id-ID"/>
        </w:rPr>
        <w:t>‘Some people from `Urainah came to us during the time of the Messenger of Allah (S), but they did not want to live in Al-Madinah because the climate was not suitable for them. He said: ‘Go you to our camels, and drink their milk and urine.’ So they did so (and recovered), then they apostatised from Islam and killed the Prophet's shepherd and stole his camels. The Messenger of Allah sent men after them, and they returned. Then he cut off their hands and feet, gouged out their eyes and left them in Harrah until they died.’</w:t>
      </w:r>
      <w:r w:rsidRPr="006F5102">
        <w:rPr>
          <w:rFonts w:ascii="Cambria" w:hAnsi="Cambria"/>
          <w:vertAlign w:val="superscript"/>
          <w:lang w:val="en-GB"/>
        </w:rPr>
        <w:footnoteReference w:id="55"/>
      </w:r>
      <w:r w:rsidRPr="00EA09E8">
        <w:rPr>
          <w:rFonts w:cs="Traditional Arabic"/>
          <w:szCs w:val="36"/>
          <w:lang w:val="id-ID"/>
        </w:rPr>
        <w:t xml:space="preserve">  </w:t>
      </w:r>
    </w:p>
    <w:p w14:paraId="0A8F638B" w14:textId="77777777" w:rsidR="00E029BE" w:rsidRDefault="00EA09E8" w:rsidP="00E029BE">
      <w:pPr>
        <w:spacing w:line="360" w:lineRule="auto"/>
        <w:jc w:val="both"/>
        <w:rPr>
          <w:rFonts w:cs="Traditional Arabic"/>
          <w:szCs w:val="36"/>
          <w:lang w:val="id-ID"/>
        </w:rPr>
      </w:pPr>
      <w:r w:rsidRPr="00EA09E8">
        <w:rPr>
          <w:rFonts w:cs="Traditional Arabic"/>
          <w:szCs w:val="36"/>
          <w:lang w:val="id-ID"/>
        </w:rPr>
        <w:t xml:space="preserve">The punishment of the Urainahs would have been better accommodated if verse 33 had been revealed after the incident. If the verse had been revealed earlier, then the Prophet's imposition of punishment on them would have been contrary to the wording of the verse. </w:t>
      </w:r>
    </w:p>
    <w:p w14:paraId="6B114232" w14:textId="2F6B98CA" w:rsidR="00431432" w:rsidRDefault="00EA09E8" w:rsidP="00E029BE">
      <w:pPr>
        <w:spacing w:line="360" w:lineRule="auto"/>
        <w:ind w:firstLine="567"/>
        <w:jc w:val="both"/>
        <w:rPr>
          <w:rFonts w:cs="Traditional Arabic"/>
          <w:szCs w:val="36"/>
          <w:lang w:val="id-ID"/>
        </w:rPr>
      </w:pPr>
      <w:r w:rsidRPr="00EA09E8">
        <w:rPr>
          <w:rFonts w:cs="Traditional Arabic"/>
          <w:szCs w:val="36"/>
          <w:lang w:val="id-ID"/>
        </w:rPr>
        <w:t>Al-Ṭabari</w:t>
      </w:r>
      <w:r w:rsidRPr="006F5102">
        <w:rPr>
          <w:rFonts w:ascii="Cambria" w:hAnsi="Cambria"/>
          <w:vertAlign w:val="superscript"/>
          <w:lang w:val="en-GB"/>
        </w:rPr>
        <w:footnoteReference w:id="56"/>
      </w:r>
      <w:r w:rsidRPr="00EA09E8">
        <w:rPr>
          <w:rFonts w:cs="Traditional Arabic"/>
          <w:szCs w:val="36"/>
          <w:lang w:val="id-ID"/>
        </w:rPr>
        <w:t xml:space="preserve"> point</w:t>
      </w:r>
      <w:r w:rsidR="00E029BE">
        <w:rPr>
          <w:rFonts w:cs="Traditional Arabic"/>
          <w:szCs w:val="36"/>
          <w:lang w:val="id-ID"/>
        </w:rPr>
        <w:t>ed</w:t>
      </w:r>
      <w:r w:rsidRPr="00EA09E8">
        <w:rPr>
          <w:rFonts w:cs="Traditional Arabic"/>
          <w:szCs w:val="36"/>
          <w:lang w:val="id-ID"/>
        </w:rPr>
        <w:t xml:space="preserve"> out the scholarly debate regarding the status of this verse, namely whether verse 33 abrogates the punishment imposed by the Prophet or the verse is abrogated. Furthermore, some opinions point out the difference in the functional status of the verse between a rebuke to the Prophet for ‘gouging the eyes’ or simply a nasakh. To mediate this difference, al-Ṭabari</w:t>
      </w:r>
      <w:r w:rsidRPr="006F5102">
        <w:rPr>
          <w:rFonts w:ascii="Cambria" w:hAnsi="Cambria"/>
          <w:vertAlign w:val="superscript"/>
          <w:lang w:val="en-GB"/>
        </w:rPr>
        <w:footnoteReference w:id="57"/>
      </w:r>
      <w:r w:rsidRPr="00EA09E8">
        <w:rPr>
          <w:rFonts w:cs="Traditional Arabic"/>
          <w:szCs w:val="36"/>
          <w:lang w:val="id-ID"/>
        </w:rPr>
        <w:t xml:space="preserve"> favours the narration which says that the enforcement of eye gouging has been abrogated by the revelation of verse 33, otherwise the verse is not a rebuke to the Prophet because the Prophet only wanted to gouge their eyes. Al-Baghawi</w:t>
      </w:r>
      <w:r w:rsidRPr="006F5102">
        <w:rPr>
          <w:rFonts w:ascii="Cambria" w:hAnsi="Cambria"/>
          <w:vertAlign w:val="superscript"/>
          <w:lang w:val="en-GB"/>
        </w:rPr>
        <w:footnoteReference w:id="58"/>
      </w:r>
      <w:r w:rsidRPr="00EA09E8">
        <w:rPr>
          <w:rFonts w:cs="Traditional Arabic"/>
          <w:szCs w:val="36"/>
          <w:lang w:val="id-ID"/>
        </w:rPr>
        <w:t xml:space="preserve"> argues on the basis of a different narration that the reason the Prophet imposed the eye gouging was because the Urainahs had gouged the goat herders.</w:t>
      </w:r>
    </w:p>
    <w:p w14:paraId="32F8D00E" w14:textId="308F7B77" w:rsidR="00EA09E8" w:rsidRDefault="00EA09E8" w:rsidP="00EA09E8">
      <w:pPr>
        <w:spacing w:line="360" w:lineRule="auto"/>
        <w:ind w:firstLine="567"/>
        <w:jc w:val="both"/>
        <w:rPr>
          <w:rFonts w:cs="Traditional Arabic"/>
          <w:szCs w:val="36"/>
          <w:lang w:val="id-ID"/>
        </w:rPr>
      </w:pPr>
      <w:r w:rsidRPr="00EA09E8">
        <w:rPr>
          <w:rFonts w:cs="Traditional Arabic"/>
          <w:szCs w:val="36"/>
          <w:lang w:val="id-ID"/>
        </w:rPr>
        <w:t xml:space="preserve">The punishment meted out to the people of Urainah raises the question of the postulate on which the punishment was based. It is clear </w:t>
      </w:r>
      <w:r w:rsidRPr="00EA09E8">
        <w:rPr>
          <w:rFonts w:cs="Traditional Arabic"/>
          <w:szCs w:val="36"/>
          <w:lang w:val="id-ID"/>
        </w:rPr>
        <w:lastRenderedPageBreak/>
        <w:t xml:space="preserve">from the substance of the </w:t>
      </w:r>
      <w:r w:rsidRPr="006F5ED9">
        <w:rPr>
          <w:rFonts w:cs="Traditional Arabic"/>
          <w:i/>
          <w:iCs/>
          <w:szCs w:val="36"/>
          <w:lang w:val="id-ID"/>
        </w:rPr>
        <w:t>Hadīth</w:t>
      </w:r>
      <w:r w:rsidRPr="00EA09E8">
        <w:rPr>
          <w:rFonts w:cs="Traditional Arabic"/>
          <w:szCs w:val="36"/>
          <w:lang w:val="id-ID"/>
        </w:rPr>
        <w:t xml:space="preserve"> that the punishment meted out to them was a </w:t>
      </w:r>
      <w:r w:rsidRPr="006F5ED9">
        <w:rPr>
          <w:rFonts w:cs="Traditional Arabic"/>
          <w:i/>
          <w:iCs/>
          <w:szCs w:val="36"/>
          <w:lang w:val="id-ID"/>
        </w:rPr>
        <w:t>qiṣāṣ</w:t>
      </w:r>
      <w:r w:rsidRPr="00EA09E8">
        <w:rPr>
          <w:rFonts w:cs="Traditional Arabic"/>
          <w:szCs w:val="36"/>
          <w:lang w:val="id-ID"/>
        </w:rPr>
        <w:t xml:space="preserve">, a punishment commensurate with what they had done to the shepherds. Regarding </w:t>
      </w:r>
      <w:r w:rsidRPr="006F5ED9">
        <w:rPr>
          <w:rFonts w:cs="Traditional Arabic"/>
          <w:i/>
          <w:iCs/>
          <w:szCs w:val="36"/>
          <w:lang w:val="id-ID"/>
        </w:rPr>
        <w:t>qiṣāṣ</w:t>
      </w:r>
      <w:r w:rsidRPr="00EA09E8">
        <w:rPr>
          <w:rFonts w:cs="Traditional Arabic"/>
          <w:szCs w:val="36"/>
          <w:lang w:val="id-ID"/>
        </w:rPr>
        <w:t>, al-Khuḍari</w:t>
      </w:r>
      <w:r w:rsidRPr="006F5102">
        <w:rPr>
          <w:rFonts w:ascii="Cambria" w:hAnsi="Cambria"/>
          <w:vertAlign w:val="superscript"/>
          <w:lang w:val="en-GB"/>
        </w:rPr>
        <w:footnoteReference w:id="59"/>
      </w:r>
      <w:r w:rsidRPr="00EA09E8">
        <w:rPr>
          <w:rFonts w:cs="Traditional Arabic"/>
          <w:szCs w:val="36"/>
          <w:lang w:val="id-ID"/>
        </w:rPr>
        <w:t xml:space="preserve"> mentions the verses that discuss it, including Qs. al-Baqarah: 178-179, al-Nisa': 92, and al-Maidah: 45.</w:t>
      </w:r>
    </w:p>
    <w:p w14:paraId="7C8C981A" w14:textId="2666BC7A" w:rsidR="00AF5B5E" w:rsidRDefault="00AF5B5E" w:rsidP="00EA09E8">
      <w:pPr>
        <w:spacing w:line="360" w:lineRule="auto"/>
        <w:ind w:firstLine="567"/>
        <w:jc w:val="both"/>
        <w:rPr>
          <w:rFonts w:cs="Traditional Arabic"/>
          <w:szCs w:val="36"/>
          <w:lang w:val="id-ID"/>
        </w:rPr>
      </w:pPr>
      <w:r w:rsidRPr="00AF5B5E">
        <w:rPr>
          <w:rFonts w:cs="Traditional Arabic"/>
          <w:szCs w:val="36"/>
          <w:lang w:val="id-ID"/>
        </w:rPr>
        <w:t xml:space="preserve">The ruling of </w:t>
      </w:r>
      <w:r w:rsidRPr="006F5ED9">
        <w:rPr>
          <w:rFonts w:cs="Traditional Arabic"/>
          <w:i/>
          <w:iCs/>
          <w:szCs w:val="36"/>
          <w:lang w:val="id-ID"/>
        </w:rPr>
        <w:t>qiṣāṣ</w:t>
      </w:r>
      <w:r w:rsidRPr="00AF5B5E">
        <w:rPr>
          <w:rFonts w:cs="Traditional Arabic"/>
          <w:szCs w:val="36"/>
          <w:lang w:val="id-ID"/>
        </w:rPr>
        <w:t xml:space="preserve"> existed before the revelation of Qs. al-Maidah: 32-33. This is based on the opinion of the majority of scholars cited by Ibn ‘As</w:t>
      </w:r>
      <w:r>
        <w:rPr>
          <w:rFonts w:cs="Traditional Arabic"/>
          <w:szCs w:val="36"/>
          <w:lang w:val="id-ID"/>
        </w:rPr>
        <w:t>yur</w:t>
      </w:r>
      <w:r w:rsidRPr="006F5102">
        <w:rPr>
          <w:rFonts w:ascii="Cambria" w:hAnsi="Cambria"/>
          <w:vertAlign w:val="superscript"/>
          <w:lang w:val="en-GB"/>
        </w:rPr>
        <w:footnoteReference w:id="60"/>
      </w:r>
      <w:r w:rsidRPr="00AF5B5E">
        <w:rPr>
          <w:rFonts w:cs="Traditional Arabic"/>
          <w:szCs w:val="36"/>
          <w:lang w:val="id-ID"/>
        </w:rPr>
        <w:t xml:space="preserve"> that the revelation of Surah al-Maidah was long after the incident of the people of Urainah that occurred in 6 A.H. This means that before this incident, the Prophet Muhammad had received the command to carry out qiṣāṣ. Thus, Qs. al-Baqarah: 178-179 is a stronge</w:t>
      </w:r>
      <w:r w:rsidR="00BE68E9">
        <w:rPr>
          <w:rFonts w:cs="Traditional Arabic"/>
          <w:szCs w:val="36"/>
          <w:lang w:val="id-ID"/>
        </w:rPr>
        <w:t>st</w:t>
      </w:r>
      <w:r w:rsidRPr="00AF5B5E">
        <w:rPr>
          <w:rFonts w:cs="Traditional Arabic"/>
          <w:szCs w:val="36"/>
          <w:lang w:val="id-ID"/>
        </w:rPr>
        <w:t xml:space="preserve"> basis for the punishment of the Urainahs.</w:t>
      </w:r>
    </w:p>
    <w:p w14:paraId="72FB6DAA" w14:textId="0CF12CC4" w:rsidR="00AF5B5E" w:rsidRDefault="00AF5B5E" w:rsidP="00EA09E8">
      <w:pPr>
        <w:spacing w:line="360" w:lineRule="auto"/>
        <w:ind w:firstLine="567"/>
        <w:jc w:val="both"/>
        <w:rPr>
          <w:rFonts w:cs="Traditional Arabic"/>
          <w:szCs w:val="36"/>
          <w:lang w:val="id-ID"/>
        </w:rPr>
      </w:pPr>
      <w:r w:rsidRPr="00AF5B5E">
        <w:rPr>
          <w:rFonts w:cs="Traditional Arabic"/>
          <w:szCs w:val="36"/>
          <w:lang w:val="id-ID"/>
        </w:rPr>
        <w:t xml:space="preserve">Qs. Al-Baqarah 178-179 explicitly obliges </w:t>
      </w:r>
      <w:r w:rsidRPr="006F5ED9">
        <w:rPr>
          <w:rFonts w:cs="Traditional Arabic"/>
          <w:i/>
          <w:iCs/>
          <w:szCs w:val="36"/>
          <w:lang w:val="id-ID"/>
        </w:rPr>
        <w:t>qiṣāṣ</w:t>
      </w:r>
      <w:r w:rsidRPr="00AF5B5E">
        <w:rPr>
          <w:rFonts w:cs="Traditional Arabic"/>
          <w:szCs w:val="36"/>
          <w:lang w:val="id-ID"/>
        </w:rPr>
        <w:t xml:space="preserve"> in the case of murder, but the sentence ‘</w:t>
      </w:r>
      <w:r w:rsidRPr="00AF5B5E">
        <w:rPr>
          <w:rFonts w:cs="Traditional Arabic"/>
          <w:i/>
          <w:iCs/>
          <w:szCs w:val="36"/>
          <w:lang w:val="id-ID"/>
        </w:rPr>
        <w:t xml:space="preserve">Freeman </w:t>
      </w:r>
      <w:r w:rsidRPr="00AF5B5E">
        <w:rPr>
          <w:rFonts w:cs="Traditional Arabic"/>
          <w:i/>
          <w:iCs/>
          <w:szCs w:val="36"/>
          <w:lang w:val="id-ID"/>
        </w:rPr>
        <w:t>to freeman, slave to slave, and woman to woman</w:t>
      </w:r>
      <w:r w:rsidRPr="00AF5B5E">
        <w:rPr>
          <w:rFonts w:cs="Traditional Arabic"/>
          <w:szCs w:val="36"/>
          <w:lang w:val="id-ID"/>
        </w:rPr>
        <w:t>’</w:t>
      </w:r>
      <w:r w:rsidRPr="006F5102">
        <w:rPr>
          <w:rFonts w:ascii="Cambria" w:hAnsi="Cambria"/>
          <w:vertAlign w:val="superscript"/>
          <w:lang w:val="en-GB"/>
        </w:rPr>
        <w:footnoteReference w:id="61"/>
      </w:r>
      <w:r w:rsidRPr="00AF5B5E">
        <w:rPr>
          <w:rFonts w:cs="Traditional Arabic"/>
          <w:szCs w:val="36"/>
          <w:lang w:val="id-ID"/>
        </w:rPr>
        <w:t xml:space="preserve"> is considered problematic. This can be seen through the scholars' debate in determining the equality requirement in the enforcement of </w:t>
      </w:r>
      <w:r w:rsidRPr="00BE68E9">
        <w:rPr>
          <w:rFonts w:cs="Traditional Arabic"/>
          <w:i/>
          <w:iCs/>
          <w:szCs w:val="36"/>
          <w:lang w:val="id-ID"/>
        </w:rPr>
        <w:t>qiṣāṣ</w:t>
      </w:r>
      <w:r w:rsidRPr="00AF5B5E">
        <w:rPr>
          <w:rFonts w:cs="Traditional Arabic"/>
          <w:szCs w:val="36"/>
          <w:lang w:val="id-ID"/>
        </w:rPr>
        <w:t xml:space="preserve"> and the verse's </w:t>
      </w:r>
      <w:r w:rsidRPr="00BE68E9">
        <w:rPr>
          <w:rFonts w:cs="Traditional Arabic"/>
          <w:i/>
          <w:iCs/>
          <w:szCs w:val="36"/>
          <w:lang w:val="id-ID"/>
        </w:rPr>
        <w:t>sabab al-nuzūl</w:t>
      </w:r>
      <w:r w:rsidRPr="00AF5B5E">
        <w:rPr>
          <w:rFonts w:cs="Traditional Arabic"/>
          <w:szCs w:val="36"/>
          <w:lang w:val="id-ID"/>
        </w:rPr>
        <w:t xml:space="preserve"> or background. Al-Ṣābūni</w:t>
      </w:r>
      <w:r w:rsidRPr="006F5102">
        <w:rPr>
          <w:rFonts w:ascii="Cambria" w:hAnsi="Cambria"/>
          <w:vertAlign w:val="superscript"/>
          <w:lang w:val="en-GB"/>
        </w:rPr>
        <w:footnoteReference w:id="62"/>
      </w:r>
      <w:r w:rsidRPr="00AF5B5E">
        <w:rPr>
          <w:rFonts w:cs="Traditional Arabic"/>
          <w:szCs w:val="36"/>
          <w:lang w:val="id-ID"/>
        </w:rPr>
        <w:t xml:space="preserve"> has summarised the debate and he is inclined to the Hanafiyah opinion, one of whose arguments explains that the sentence ‘</w:t>
      </w:r>
      <w:r w:rsidRPr="00AF5B5E">
        <w:rPr>
          <w:rFonts w:cs="Traditional Arabic"/>
          <w:i/>
          <w:iCs/>
          <w:szCs w:val="36"/>
          <w:lang w:val="id-ID"/>
        </w:rPr>
        <w:t>Freeman to freeman, slave to slave, and woman to woman.</w:t>
      </w:r>
      <w:r w:rsidRPr="00AF5B5E">
        <w:rPr>
          <w:rFonts w:cs="Traditional Arabic"/>
          <w:szCs w:val="36"/>
          <w:lang w:val="id-ID"/>
        </w:rPr>
        <w:t xml:space="preserve">’ is the Qur'an's commentary on the unjust Arab tradition of applying </w:t>
      </w:r>
      <w:r w:rsidRPr="00FC74FE">
        <w:rPr>
          <w:rFonts w:cs="Traditional Arabic"/>
          <w:i/>
          <w:iCs/>
          <w:szCs w:val="36"/>
          <w:lang w:val="id-ID"/>
        </w:rPr>
        <w:t>qiṣāṣ</w:t>
      </w:r>
      <w:r w:rsidRPr="00AF5B5E">
        <w:rPr>
          <w:rFonts w:cs="Traditional Arabic"/>
          <w:szCs w:val="36"/>
          <w:lang w:val="id-ID"/>
        </w:rPr>
        <w:t>.</w:t>
      </w:r>
    </w:p>
    <w:p w14:paraId="3142FF8F" w14:textId="7B814F2B" w:rsidR="00AF5B5E" w:rsidRDefault="00AF5B5E" w:rsidP="00EA09E8">
      <w:pPr>
        <w:spacing w:line="360" w:lineRule="auto"/>
        <w:ind w:firstLine="567"/>
        <w:jc w:val="both"/>
        <w:rPr>
          <w:rFonts w:cs="Traditional Arabic"/>
          <w:szCs w:val="36"/>
          <w:lang w:val="id-ID"/>
        </w:rPr>
      </w:pPr>
      <w:r w:rsidRPr="00AF5B5E">
        <w:rPr>
          <w:rFonts w:cs="Traditional Arabic"/>
          <w:szCs w:val="36"/>
          <w:lang w:val="id-ID"/>
        </w:rPr>
        <w:t xml:space="preserve">Concerning the </w:t>
      </w:r>
      <w:r w:rsidRPr="00FC74FE">
        <w:rPr>
          <w:rFonts w:cs="Traditional Arabic"/>
          <w:i/>
          <w:iCs/>
          <w:szCs w:val="36"/>
          <w:lang w:val="id-ID"/>
        </w:rPr>
        <w:t>sabab al-nuzūl</w:t>
      </w:r>
      <w:r w:rsidRPr="00AF5B5E">
        <w:rPr>
          <w:rFonts w:cs="Traditional Arabic"/>
          <w:szCs w:val="36"/>
          <w:lang w:val="id-ID"/>
        </w:rPr>
        <w:t xml:space="preserve"> of Qs. al-Baqarah: 178-179, Ibn al-'Arabi gives two possible backgrounds, namely the </w:t>
      </w:r>
      <w:r w:rsidRPr="00FC74FE">
        <w:rPr>
          <w:rFonts w:cs="Traditional Arabic"/>
          <w:i/>
          <w:iCs/>
          <w:szCs w:val="36"/>
          <w:lang w:val="id-ID"/>
        </w:rPr>
        <w:t>qiṣāṣ</w:t>
      </w:r>
      <w:r w:rsidRPr="00AF5B5E">
        <w:rPr>
          <w:rFonts w:cs="Traditional Arabic"/>
          <w:szCs w:val="36"/>
          <w:lang w:val="id-ID"/>
        </w:rPr>
        <w:t xml:space="preserve"> tradition of the pre-Islamic Arabs and the </w:t>
      </w:r>
      <w:r w:rsidRPr="00FC74FE">
        <w:rPr>
          <w:rFonts w:cs="Traditional Arabic"/>
          <w:i/>
          <w:iCs/>
          <w:szCs w:val="36"/>
          <w:lang w:val="id-ID"/>
        </w:rPr>
        <w:t>qiṣāṣ</w:t>
      </w:r>
      <w:r w:rsidRPr="00AF5B5E">
        <w:rPr>
          <w:rFonts w:cs="Traditional Arabic"/>
          <w:szCs w:val="36"/>
          <w:lang w:val="id-ID"/>
        </w:rPr>
        <w:t xml:space="preserve"> rulings in the previous scriptures. Ibn al-'Arabi</w:t>
      </w:r>
      <w:r w:rsidRPr="006F5102">
        <w:rPr>
          <w:rFonts w:ascii="Cambria" w:hAnsi="Cambria"/>
          <w:vertAlign w:val="superscript"/>
          <w:lang w:val="en-GB"/>
        </w:rPr>
        <w:footnoteReference w:id="63"/>
      </w:r>
      <w:r w:rsidRPr="00AF5B5E">
        <w:rPr>
          <w:rFonts w:cs="Traditional Arabic"/>
          <w:szCs w:val="36"/>
          <w:lang w:val="id-ID"/>
        </w:rPr>
        <w:t xml:space="preserve"> tends to the latter based on two arguments: </w:t>
      </w:r>
      <w:r w:rsidRPr="00AF5B5E">
        <w:rPr>
          <w:rFonts w:cs="Traditional Arabic"/>
          <w:szCs w:val="36"/>
          <w:lang w:val="id-ID"/>
        </w:rPr>
        <w:lastRenderedPageBreak/>
        <w:t xml:space="preserve">first, the ruling on diyat or ransom in Qs. al-Baqarah: 178-179 abrogates the specialisation of </w:t>
      </w:r>
      <w:r w:rsidRPr="00FC74FE">
        <w:rPr>
          <w:rFonts w:cs="Traditional Arabic"/>
          <w:i/>
          <w:iCs/>
          <w:szCs w:val="36"/>
          <w:lang w:val="id-ID"/>
        </w:rPr>
        <w:t>qiṣāṣ</w:t>
      </w:r>
      <w:r w:rsidRPr="00AF5B5E">
        <w:rPr>
          <w:rFonts w:cs="Traditional Arabic"/>
          <w:szCs w:val="36"/>
          <w:lang w:val="id-ID"/>
        </w:rPr>
        <w:t xml:space="preserve"> as a punishment in the legislation of Prophet Moses; secondly, the pre-Islamic Arabian tradition of </w:t>
      </w:r>
      <w:r w:rsidRPr="00FC74FE">
        <w:rPr>
          <w:rFonts w:cs="Traditional Arabic"/>
          <w:i/>
          <w:iCs/>
          <w:szCs w:val="36"/>
          <w:lang w:val="id-ID"/>
        </w:rPr>
        <w:t>qiṣāṣ</w:t>
      </w:r>
      <w:r w:rsidRPr="00AF5B5E">
        <w:rPr>
          <w:rFonts w:cs="Traditional Arabic"/>
          <w:szCs w:val="36"/>
          <w:lang w:val="id-ID"/>
        </w:rPr>
        <w:t xml:space="preserve"> cannot be said to be abrogated because the pre-Islamic Arabs applied </w:t>
      </w:r>
      <w:r w:rsidRPr="00FC74FE">
        <w:rPr>
          <w:rFonts w:cs="Traditional Arabic"/>
          <w:i/>
          <w:iCs/>
          <w:szCs w:val="36"/>
          <w:lang w:val="id-ID"/>
        </w:rPr>
        <w:t>qiṣāṣ</w:t>
      </w:r>
      <w:r w:rsidRPr="00AF5B5E">
        <w:rPr>
          <w:rFonts w:cs="Traditional Arabic"/>
          <w:szCs w:val="36"/>
          <w:lang w:val="id-ID"/>
        </w:rPr>
        <w:t xml:space="preserve"> excessively.</w:t>
      </w:r>
    </w:p>
    <w:p w14:paraId="757E8F7B" w14:textId="3F8DEEEA" w:rsidR="00AF5B5E" w:rsidRDefault="00AF5B5E" w:rsidP="00EA09E8">
      <w:pPr>
        <w:spacing w:line="360" w:lineRule="auto"/>
        <w:ind w:firstLine="567"/>
        <w:jc w:val="both"/>
        <w:rPr>
          <w:rFonts w:cs="Traditional Arabic"/>
          <w:szCs w:val="36"/>
          <w:lang w:val="id-ID"/>
        </w:rPr>
      </w:pPr>
      <w:r w:rsidRPr="00AF5B5E">
        <w:rPr>
          <w:rFonts w:cs="Traditional Arabic"/>
          <w:szCs w:val="36"/>
          <w:lang w:val="id-ID"/>
        </w:rPr>
        <w:t xml:space="preserve">The opinions of Ibn al-'Arabi and al-Ṣābūni indirectly indicate a contradiction. From the lexical point of view, Qs. al-Baqarah 178-179 is more suitable for the </w:t>
      </w:r>
      <w:r w:rsidRPr="00537AD8">
        <w:rPr>
          <w:rFonts w:cs="Traditional Arabic"/>
          <w:i/>
          <w:iCs/>
          <w:szCs w:val="36"/>
          <w:lang w:val="id-ID"/>
        </w:rPr>
        <w:t>qiṣāṣ</w:t>
      </w:r>
      <w:r w:rsidRPr="00AF5B5E">
        <w:rPr>
          <w:rFonts w:cs="Traditional Arabic"/>
          <w:szCs w:val="36"/>
          <w:lang w:val="id-ID"/>
        </w:rPr>
        <w:t xml:space="preserve"> tradition of the pre-Islamic Arabs, while from the perspective of </w:t>
      </w:r>
      <w:r w:rsidRPr="00537AD8">
        <w:rPr>
          <w:rFonts w:cs="Traditional Arabic"/>
          <w:i/>
          <w:iCs/>
          <w:szCs w:val="36"/>
          <w:lang w:val="id-ID"/>
        </w:rPr>
        <w:t>tasyrī'</w:t>
      </w:r>
      <w:r w:rsidRPr="00AF5B5E">
        <w:rPr>
          <w:rFonts w:cs="Traditional Arabic"/>
          <w:szCs w:val="36"/>
          <w:lang w:val="id-ID"/>
        </w:rPr>
        <w:t xml:space="preserve">, the verse is more in line with the </w:t>
      </w:r>
      <w:r w:rsidRPr="00537AD8">
        <w:rPr>
          <w:rFonts w:cs="Traditional Arabic"/>
          <w:i/>
          <w:iCs/>
          <w:szCs w:val="36"/>
          <w:lang w:val="id-ID"/>
        </w:rPr>
        <w:t>qiṣāṣ</w:t>
      </w:r>
      <w:r w:rsidRPr="00AF5B5E">
        <w:rPr>
          <w:rFonts w:cs="Traditional Arabic"/>
          <w:szCs w:val="36"/>
          <w:lang w:val="id-ID"/>
        </w:rPr>
        <w:t xml:space="preserve"> law of the Prophet Moses. Despite these differences, with the revelation of Qs. al-Baqarah: 178-179, the law of </w:t>
      </w:r>
      <w:r w:rsidR="00537AD8" w:rsidRPr="00537AD8">
        <w:rPr>
          <w:rFonts w:cs="Traditional Arabic"/>
          <w:i/>
          <w:iCs/>
          <w:szCs w:val="36"/>
          <w:lang w:val="id-ID"/>
        </w:rPr>
        <w:t>qiṣāṣ</w:t>
      </w:r>
      <w:r w:rsidR="00537AD8" w:rsidRPr="00AF5B5E">
        <w:rPr>
          <w:rFonts w:cs="Traditional Arabic"/>
          <w:szCs w:val="36"/>
          <w:lang w:val="id-ID"/>
        </w:rPr>
        <w:t xml:space="preserve"> </w:t>
      </w:r>
      <w:r w:rsidRPr="00AF5B5E">
        <w:rPr>
          <w:rFonts w:cs="Traditional Arabic"/>
          <w:szCs w:val="36"/>
          <w:lang w:val="id-ID"/>
        </w:rPr>
        <w:t xml:space="preserve">in Islam has organised the </w:t>
      </w:r>
      <w:r w:rsidR="00537AD8" w:rsidRPr="00537AD8">
        <w:rPr>
          <w:rFonts w:cs="Traditional Arabic"/>
          <w:i/>
          <w:iCs/>
          <w:szCs w:val="36"/>
          <w:lang w:val="id-ID"/>
        </w:rPr>
        <w:t>qiṣāṣ</w:t>
      </w:r>
      <w:r w:rsidR="00537AD8" w:rsidRPr="00AF5B5E">
        <w:rPr>
          <w:rFonts w:cs="Traditional Arabic"/>
          <w:szCs w:val="36"/>
          <w:lang w:val="id-ID"/>
        </w:rPr>
        <w:t xml:space="preserve"> </w:t>
      </w:r>
      <w:r w:rsidRPr="00AF5B5E">
        <w:rPr>
          <w:rFonts w:cs="Traditional Arabic"/>
          <w:szCs w:val="36"/>
          <w:lang w:val="id-ID"/>
        </w:rPr>
        <w:t xml:space="preserve">tradition of the Jahiliyyah Arabs as well as having a distinction over the law of </w:t>
      </w:r>
      <w:r w:rsidR="00537AD8" w:rsidRPr="00537AD8">
        <w:rPr>
          <w:rFonts w:cs="Traditional Arabic"/>
          <w:i/>
          <w:iCs/>
          <w:szCs w:val="36"/>
          <w:lang w:val="id-ID"/>
        </w:rPr>
        <w:t>qiṣāṣ</w:t>
      </w:r>
      <w:r w:rsidR="00537AD8" w:rsidRPr="00AF5B5E">
        <w:rPr>
          <w:rFonts w:cs="Traditional Arabic"/>
          <w:szCs w:val="36"/>
          <w:lang w:val="id-ID"/>
        </w:rPr>
        <w:t xml:space="preserve"> </w:t>
      </w:r>
      <w:r w:rsidRPr="00AF5B5E">
        <w:rPr>
          <w:rFonts w:cs="Traditional Arabic"/>
          <w:szCs w:val="36"/>
          <w:lang w:val="id-ID"/>
        </w:rPr>
        <w:t>in the law of the Prophet Moses.</w:t>
      </w:r>
    </w:p>
    <w:p w14:paraId="0F4E166A" w14:textId="77777777" w:rsidR="00C7638B" w:rsidRPr="00C7638B" w:rsidRDefault="00C7638B" w:rsidP="00C7638B">
      <w:pPr>
        <w:spacing w:line="360" w:lineRule="auto"/>
        <w:ind w:firstLine="567"/>
        <w:jc w:val="both"/>
        <w:rPr>
          <w:rFonts w:cs="Traditional Arabic"/>
          <w:szCs w:val="36"/>
          <w:lang w:val="id-ID"/>
        </w:rPr>
      </w:pPr>
      <w:r w:rsidRPr="00C7638B">
        <w:rPr>
          <w:rFonts w:cs="Traditional Arabic"/>
          <w:szCs w:val="36"/>
          <w:lang w:val="id-ID"/>
        </w:rPr>
        <w:t>In addition to the above interpretative problems, Qs. al-Maidah: 32 has caused debate among the mufasirs in determining the meaning of the sentence:</w:t>
      </w:r>
    </w:p>
    <w:p w14:paraId="16577875" w14:textId="7A02AF21" w:rsidR="004A1E03" w:rsidRDefault="00C7638B" w:rsidP="00C7638B">
      <w:pPr>
        <w:ind w:left="567"/>
        <w:jc w:val="both"/>
        <w:rPr>
          <w:rFonts w:cs="Traditional Arabic"/>
          <w:szCs w:val="36"/>
          <w:lang w:val="id-ID"/>
        </w:rPr>
      </w:pPr>
      <w:r w:rsidRPr="00C7638B">
        <w:rPr>
          <w:rFonts w:cs="Traditional Arabic"/>
          <w:szCs w:val="36"/>
          <w:lang w:val="id-ID"/>
        </w:rPr>
        <w:t>‘That whoever kills a person not because he has killed another or because he has caused mischief on earth, it is as if he has killed all men. On the other hand, whoever preserves the life of one human being, it is as if he has preserved the life of all human beings.’</w:t>
      </w:r>
      <w:r w:rsidRPr="006F5102">
        <w:rPr>
          <w:rFonts w:ascii="Cambria" w:hAnsi="Cambria"/>
          <w:vertAlign w:val="superscript"/>
          <w:lang w:val="id-ID"/>
        </w:rPr>
        <w:footnoteReference w:id="64"/>
      </w:r>
    </w:p>
    <w:p w14:paraId="73B97033" w14:textId="78BE88B7" w:rsidR="00C7638B" w:rsidRDefault="00B04B63" w:rsidP="00B04B63">
      <w:pPr>
        <w:spacing w:line="360" w:lineRule="auto"/>
        <w:jc w:val="both"/>
        <w:rPr>
          <w:rFonts w:cs="Traditional Arabic"/>
          <w:szCs w:val="36"/>
          <w:lang w:val="id-ID"/>
        </w:rPr>
      </w:pPr>
      <w:r w:rsidRPr="00B04B63">
        <w:rPr>
          <w:rFonts w:cs="Traditional Arabic"/>
          <w:szCs w:val="36"/>
          <w:lang w:val="id-ID"/>
        </w:rPr>
        <w:t>Al-Ṭabari</w:t>
      </w:r>
      <w:r w:rsidRPr="006F5102">
        <w:rPr>
          <w:rFonts w:ascii="Cambria" w:hAnsi="Cambria"/>
          <w:vertAlign w:val="superscript"/>
          <w:lang w:val="en-GB"/>
        </w:rPr>
        <w:footnoteReference w:id="65"/>
      </w:r>
      <w:r w:rsidRPr="00B04B63">
        <w:rPr>
          <w:rFonts w:cs="Traditional Arabic"/>
          <w:szCs w:val="36"/>
          <w:lang w:val="id-ID"/>
        </w:rPr>
        <w:t xml:space="preserve"> has mentioned various opinions that explain the meaning of the verse, including: (1) it is considered as killing all human beings if the victim is a prophet or judge; (2) killing one sinner is like killing all human beings; (3) the mention of ‘like killing all human beings’ is an allusion to the retribution of hell for the murderer; (4) likewise, those who spare or save one life will be considered to have received the reward of saving all human beings. Then al-Ṭabari</w:t>
      </w:r>
      <w:r w:rsidRPr="006F5102">
        <w:rPr>
          <w:rFonts w:ascii="Cambria" w:hAnsi="Cambria"/>
          <w:vertAlign w:val="superscript"/>
          <w:lang w:val="en-GB"/>
        </w:rPr>
        <w:footnoteReference w:id="66"/>
      </w:r>
      <w:r w:rsidRPr="00B04B63">
        <w:rPr>
          <w:rFonts w:cs="Traditional Arabic"/>
          <w:szCs w:val="36"/>
          <w:lang w:val="id-ID"/>
        </w:rPr>
        <w:t xml:space="preserve"> took the most favourable opinion, which is based on the narration from Abu Ja'far that the mention of the equation is intended to describe the qiṣāṣ punishment received by the perpetrator and the punishment of Hell in the Hereafter.</w:t>
      </w:r>
    </w:p>
    <w:p w14:paraId="1E31A87E" w14:textId="27E7F203" w:rsidR="00B04B63" w:rsidRDefault="00B04B63" w:rsidP="00B04B63">
      <w:pPr>
        <w:spacing w:line="360" w:lineRule="auto"/>
        <w:ind w:firstLine="567"/>
        <w:jc w:val="both"/>
        <w:rPr>
          <w:rFonts w:cs="Traditional Arabic"/>
          <w:szCs w:val="36"/>
          <w:lang w:val="id-ID"/>
        </w:rPr>
      </w:pPr>
      <w:r w:rsidRPr="00B04B63">
        <w:rPr>
          <w:rFonts w:cs="Traditional Arabic"/>
          <w:szCs w:val="36"/>
          <w:lang w:val="id-ID"/>
        </w:rPr>
        <w:lastRenderedPageBreak/>
        <w:t>The opinion chosen by al-Ṭabari is not much different from al-Rāzi's opinion</w:t>
      </w:r>
      <w:r w:rsidRPr="006F5102">
        <w:rPr>
          <w:rFonts w:ascii="Cambria" w:hAnsi="Cambria"/>
          <w:vertAlign w:val="superscript"/>
          <w:lang w:val="en-GB"/>
        </w:rPr>
        <w:footnoteReference w:id="67"/>
      </w:r>
      <w:r w:rsidRPr="00B04B63">
        <w:rPr>
          <w:rFonts w:cs="Traditional Arabic"/>
          <w:szCs w:val="36"/>
          <w:lang w:val="id-ID"/>
        </w:rPr>
        <w:t xml:space="preserve"> that the equation in the verse is intended to show the magnitude of the crime of killing and its consequences, al-Rāzi also based his opinion on Qs. al-Nisa: 93. Maḥmūd Ḥijāzi</w:t>
      </w:r>
      <w:r w:rsidRPr="006F5102">
        <w:rPr>
          <w:rFonts w:ascii="Cambria" w:hAnsi="Cambria"/>
          <w:vertAlign w:val="superscript"/>
          <w:lang w:val="en-GB"/>
        </w:rPr>
        <w:footnoteReference w:id="68"/>
      </w:r>
      <w:r w:rsidRPr="00B04B63">
        <w:rPr>
          <w:rFonts w:cs="Traditional Arabic"/>
          <w:szCs w:val="36"/>
          <w:lang w:val="id-ID"/>
        </w:rPr>
        <w:t xml:space="preserve"> uses Qs. al-Nisa': 93 as the basis of his opinion, that the sentence implies the punishment of hell for intentional killing. Ibn ‘Āshūr</w:t>
      </w:r>
      <w:r w:rsidRPr="006F5102">
        <w:rPr>
          <w:rFonts w:ascii="Cambria" w:hAnsi="Cambria"/>
          <w:vertAlign w:val="superscript"/>
          <w:lang w:val="en-GB"/>
        </w:rPr>
        <w:footnoteReference w:id="69"/>
      </w:r>
      <w:r w:rsidRPr="00B04B63">
        <w:rPr>
          <w:rFonts w:cs="Traditional Arabic"/>
          <w:szCs w:val="36"/>
          <w:lang w:val="id-ID"/>
        </w:rPr>
        <w:t xml:space="preserve"> argues that the mention of equality in the verse implies the horror of murder, the severity of the sin and the punishment in return for murder, namely </w:t>
      </w:r>
      <w:r w:rsidRPr="00BF668F">
        <w:rPr>
          <w:rFonts w:cs="Traditional Arabic"/>
          <w:i/>
          <w:iCs/>
          <w:szCs w:val="36"/>
          <w:lang w:val="id-ID"/>
        </w:rPr>
        <w:t>qiṣāṣ</w:t>
      </w:r>
      <w:r w:rsidRPr="00B04B63">
        <w:rPr>
          <w:rFonts w:cs="Traditional Arabic"/>
          <w:szCs w:val="36"/>
          <w:lang w:val="id-ID"/>
        </w:rPr>
        <w:t>. Slightly different from al-Ṭabari and al-Rāziy, Hijazi</w:t>
      </w:r>
      <w:r w:rsidR="00064B97" w:rsidRPr="006F5102">
        <w:rPr>
          <w:rFonts w:ascii="Cambria" w:hAnsi="Cambria"/>
          <w:vertAlign w:val="superscript"/>
          <w:lang w:val="en-GB"/>
        </w:rPr>
        <w:footnoteReference w:id="70"/>
      </w:r>
      <w:r w:rsidRPr="00B04B63">
        <w:rPr>
          <w:rFonts w:cs="Traditional Arabic"/>
          <w:szCs w:val="36"/>
          <w:lang w:val="id-ID"/>
        </w:rPr>
        <w:t xml:space="preserve"> and al-Sya'rāwi</w:t>
      </w:r>
      <w:r w:rsidR="00064B97" w:rsidRPr="006F5102">
        <w:rPr>
          <w:rFonts w:ascii="Cambria" w:hAnsi="Cambria"/>
          <w:vertAlign w:val="superscript"/>
          <w:lang w:val="en-GB"/>
        </w:rPr>
        <w:footnoteReference w:id="71"/>
      </w:r>
      <w:r w:rsidRPr="00B04B63">
        <w:rPr>
          <w:rFonts w:cs="Traditional Arabic"/>
          <w:szCs w:val="36"/>
          <w:lang w:val="id-ID"/>
        </w:rPr>
        <w:t xml:space="preserve"> say that the phrase ‘</w:t>
      </w:r>
      <w:r w:rsidRPr="00BF668F">
        <w:rPr>
          <w:rFonts w:cs="Traditional Arabic"/>
          <w:i/>
          <w:iCs/>
          <w:szCs w:val="36"/>
          <w:lang w:val="id-ID"/>
        </w:rPr>
        <w:t>like killing the whole of humanity</w:t>
      </w:r>
      <w:r w:rsidRPr="00B04B63">
        <w:rPr>
          <w:rFonts w:cs="Traditional Arabic"/>
          <w:szCs w:val="36"/>
          <w:lang w:val="id-ID"/>
        </w:rPr>
        <w:t xml:space="preserve">’ is a description of whoever kills a human being, then he - indirectly - has attacked the whole community - which is part of the </w:t>
      </w:r>
      <w:r w:rsidRPr="00B04B63">
        <w:rPr>
          <w:rFonts w:cs="Traditional Arabic"/>
          <w:szCs w:val="36"/>
          <w:lang w:val="id-ID"/>
        </w:rPr>
        <w:t>victim. Furthermore, al-Sya'rāwi</w:t>
      </w:r>
      <w:r w:rsidR="00064B97" w:rsidRPr="006F5102">
        <w:rPr>
          <w:rFonts w:ascii="Cambria" w:hAnsi="Cambria"/>
          <w:vertAlign w:val="superscript"/>
          <w:lang w:val="en-GB"/>
        </w:rPr>
        <w:footnoteReference w:id="72"/>
      </w:r>
      <w:r w:rsidRPr="00B04B63">
        <w:rPr>
          <w:rFonts w:cs="Traditional Arabic"/>
          <w:szCs w:val="36"/>
          <w:lang w:val="id-ID"/>
        </w:rPr>
        <w:t xml:space="preserve"> explained that the similarity cannot be separated from the possibility of the perpetrator committing murder to others afterwards, or it could be that others will imitate his actions.</w:t>
      </w:r>
    </w:p>
    <w:p w14:paraId="03CA370D" w14:textId="75B3324E" w:rsidR="00064B97" w:rsidRDefault="00064B97" w:rsidP="00B04B63">
      <w:pPr>
        <w:spacing w:line="360" w:lineRule="auto"/>
        <w:ind w:firstLine="567"/>
        <w:jc w:val="both"/>
        <w:rPr>
          <w:rFonts w:cs="Traditional Arabic"/>
          <w:szCs w:val="36"/>
          <w:lang w:val="id-ID"/>
        </w:rPr>
      </w:pPr>
      <w:r w:rsidRPr="00064B97">
        <w:rPr>
          <w:rFonts w:cs="Traditional Arabic"/>
          <w:szCs w:val="36"/>
          <w:lang w:val="id-ID"/>
        </w:rPr>
        <w:t>All of the above differences in interpretation stem from the sentence ‘</w:t>
      </w:r>
      <w:r w:rsidRPr="00BF668F">
        <w:rPr>
          <w:rFonts w:cs="Traditional Arabic"/>
          <w:i/>
          <w:iCs/>
          <w:szCs w:val="36"/>
          <w:lang w:val="id-ID"/>
        </w:rPr>
        <w:t>that whoever kills a person ..... is as if he has killed all human beings</w:t>
      </w:r>
      <w:r w:rsidRPr="00064B97">
        <w:rPr>
          <w:rFonts w:cs="Traditional Arabic"/>
          <w:szCs w:val="36"/>
          <w:lang w:val="id-ID"/>
        </w:rPr>
        <w:t>’, which at first glance does not make sense. Al-Rāzi</w:t>
      </w:r>
      <w:r w:rsidRPr="006F5102">
        <w:rPr>
          <w:rFonts w:ascii="Cambria" w:hAnsi="Cambria"/>
          <w:vertAlign w:val="superscript"/>
          <w:lang w:val="en-GB"/>
        </w:rPr>
        <w:footnoteReference w:id="73"/>
      </w:r>
      <w:r w:rsidRPr="00064B97">
        <w:rPr>
          <w:rFonts w:cs="Traditional Arabic"/>
          <w:szCs w:val="36"/>
          <w:lang w:val="id-ID"/>
        </w:rPr>
        <w:t xml:space="preserve"> has addressed the issue by saying ‘How can killing one person be equated with killing all people?’. Although the majority of commentators have directed the meaning of the sentence to meanings that are not very different from each other-such as the horror of murder, the grave sin of murder, or the severe punishment of murder-only a few have pointed out the social side of murder.</w:t>
      </w:r>
    </w:p>
    <w:p w14:paraId="08943761" w14:textId="618658B0" w:rsidR="00064B97" w:rsidRDefault="00064B97" w:rsidP="00B04B63">
      <w:pPr>
        <w:spacing w:line="360" w:lineRule="auto"/>
        <w:ind w:firstLine="567"/>
        <w:jc w:val="both"/>
        <w:rPr>
          <w:rFonts w:cs="Traditional Arabic"/>
          <w:szCs w:val="36"/>
          <w:lang w:val="id-ID"/>
        </w:rPr>
      </w:pPr>
      <w:r w:rsidRPr="00064B97">
        <w:rPr>
          <w:rFonts w:cs="Traditional Arabic"/>
          <w:szCs w:val="36"/>
          <w:lang w:val="id-ID"/>
        </w:rPr>
        <w:t>Rasyīd Riḍā's interpretation</w:t>
      </w:r>
      <w:r w:rsidRPr="006F5102">
        <w:rPr>
          <w:rFonts w:ascii="Cambria" w:hAnsi="Cambria"/>
          <w:vertAlign w:val="superscript"/>
          <w:lang w:val="id-ID"/>
        </w:rPr>
        <w:footnoteReference w:id="74"/>
      </w:r>
      <w:r w:rsidRPr="00064B97">
        <w:rPr>
          <w:rFonts w:cs="Traditional Arabic"/>
          <w:szCs w:val="36"/>
          <w:lang w:val="id-ID"/>
        </w:rPr>
        <w:t xml:space="preserve"> is not much different from the other interpretations, in that he </w:t>
      </w:r>
      <w:r w:rsidRPr="00064B97">
        <w:rPr>
          <w:rFonts w:cs="Traditional Arabic"/>
          <w:szCs w:val="36"/>
          <w:lang w:val="id-ID"/>
        </w:rPr>
        <w:lastRenderedPageBreak/>
        <w:t>retrospectively quotes opinions from the main commentaries, then chooses the one that he thinks is the clearest and most accommodating. The distinguishing point in his interpretation is his statement about the mention of ‘equality of killing’ in Qs. al-Maidah: 32. According to him, the mention of ‘equal killing’ is a sublime wisdom that the Children of Israel had forgotten in their religious laws, because the Torah had disappeared and wrote what was left in their memory. Riḍā</w:t>
      </w:r>
      <w:r w:rsidRPr="006F5102">
        <w:rPr>
          <w:rFonts w:ascii="Cambria" w:hAnsi="Cambria"/>
          <w:vertAlign w:val="superscript"/>
          <w:lang w:val="id-ID"/>
        </w:rPr>
        <w:footnoteReference w:id="75"/>
      </w:r>
      <w:r w:rsidRPr="00064B97">
        <w:rPr>
          <w:rFonts w:cs="Traditional Arabic"/>
          <w:szCs w:val="36"/>
          <w:lang w:val="id-ID"/>
        </w:rPr>
        <w:t xml:space="preserve"> then performs an intertextual reading, citing Genesis: 4 about the story of Cain and Abel</w:t>
      </w:r>
      <w:r w:rsidRPr="006F5102">
        <w:rPr>
          <w:rFonts w:ascii="Cambria" w:hAnsi="Cambria"/>
          <w:vertAlign w:val="superscript"/>
          <w:lang w:val="id-ID"/>
        </w:rPr>
        <w:footnoteReference w:id="76"/>
      </w:r>
      <w:r w:rsidRPr="00064B97">
        <w:rPr>
          <w:rFonts w:cs="Traditional Arabic"/>
          <w:szCs w:val="36"/>
          <w:lang w:val="id-ID"/>
        </w:rPr>
        <w:t xml:space="preserve"> and then briefly retelling it. He also quotes Genesis: 9 about God's covenant with Noah.</w:t>
      </w:r>
      <w:r w:rsidRPr="006F5102">
        <w:rPr>
          <w:rFonts w:ascii="Cambria" w:hAnsi="Cambria"/>
          <w:vertAlign w:val="superscript"/>
          <w:lang w:val="id-ID"/>
        </w:rPr>
        <w:footnoteReference w:id="77"/>
      </w:r>
      <w:r w:rsidRPr="00064B97">
        <w:rPr>
          <w:rFonts w:cs="Traditional Arabic"/>
          <w:szCs w:val="36"/>
          <w:lang w:val="id-ID"/>
        </w:rPr>
        <w:t xml:space="preserve"> He also quotes Exodus: 21 about the rule of guaranteeing the lives of fellow human beings.</w:t>
      </w:r>
      <w:r w:rsidRPr="006F5102">
        <w:rPr>
          <w:rFonts w:ascii="Cambria" w:hAnsi="Cambria"/>
          <w:vertAlign w:val="superscript"/>
          <w:lang w:val="id-ID"/>
        </w:rPr>
        <w:footnoteReference w:id="78"/>
      </w:r>
    </w:p>
    <w:p w14:paraId="382A84BC" w14:textId="48C89B3E" w:rsidR="00064B97" w:rsidRDefault="00545228" w:rsidP="00B04B63">
      <w:pPr>
        <w:spacing w:line="360" w:lineRule="auto"/>
        <w:ind w:firstLine="567"/>
        <w:jc w:val="both"/>
        <w:rPr>
          <w:rFonts w:cs="Traditional Arabic"/>
          <w:szCs w:val="36"/>
          <w:lang w:val="id-ID"/>
        </w:rPr>
      </w:pPr>
      <w:r w:rsidRPr="00545228">
        <w:rPr>
          <w:rFonts w:cs="Traditional Arabic"/>
          <w:szCs w:val="36"/>
          <w:lang w:val="id-ID"/>
        </w:rPr>
        <w:t xml:space="preserve">All the interpretations made by the mufasirs above tend to show the impression side, but have not shown </w:t>
      </w:r>
      <w:r w:rsidRPr="00545228">
        <w:rPr>
          <w:rFonts w:cs="Traditional Arabic"/>
          <w:szCs w:val="36"/>
          <w:lang w:val="id-ID"/>
        </w:rPr>
        <w:t xml:space="preserve">the significance of the sentence in interpretation or law. In addition, there are still few mufasirs who read the intertext, especially in the sentence </w:t>
      </w:r>
      <w:r w:rsidRPr="00BF668F">
        <w:rPr>
          <w:rFonts w:cs="Traditional Arabic"/>
          <w:i/>
          <w:iCs/>
          <w:szCs w:val="36"/>
          <w:lang w:val="id-ID"/>
        </w:rPr>
        <w:t xml:space="preserve">wa katabnā ‘alā Banī Isra'īl </w:t>
      </w:r>
      <w:r w:rsidRPr="00545228">
        <w:rPr>
          <w:rFonts w:cs="Traditional Arabic"/>
          <w:szCs w:val="36"/>
          <w:lang w:val="id-ID"/>
        </w:rPr>
        <w:t>which explicitly mentions information that comes from the holy scriptures before the Qur'an. Rasyīd Riḍā's interpretation in his Biblical citation does not analyse further to show the significance of his intertextual reading on the meaning of the verse.</w:t>
      </w:r>
    </w:p>
    <w:p w14:paraId="5252375B" w14:textId="005DBB0F" w:rsidR="00545228" w:rsidRPr="00431432" w:rsidRDefault="00545228" w:rsidP="00B04B63">
      <w:pPr>
        <w:spacing w:line="360" w:lineRule="auto"/>
        <w:ind w:firstLine="567"/>
        <w:jc w:val="both"/>
        <w:rPr>
          <w:rFonts w:cs="Traditional Arabic"/>
          <w:szCs w:val="36"/>
          <w:lang w:val="id-ID"/>
        </w:rPr>
      </w:pPr>
      <w:r w:rsidRPr="00545228">
        <w:rPr>
          <w:rFonts w:cs="Traditional Arabic"/>
          <w:szCs w:val="36"/>
          <w:lang w:val="id-ID"/>
        </w:rPr>
        <w:t xml:space="preserve">Based on the explanation of the above interpretation, the interpretive problems related to intertextuality in Qs. al-Maidah: 32-33 can be categorised into two things: (1) the proposition of the Prophet's enforcement of </w:t>
      </w:r>
      <w:r w:rsidRPr="00BF668F">
        <w:rPr>
          <w:rFonts w:cs="Traditional Arabic"/>
          <w:i/>
          <w:iCs/>
          <w:szCs w:val="36"/>
          <w:lang w:val="id-ID"/>
        </w:rPr>
        <w:t>qiṣāṣ</w:t>
      </w:r>
      <w:r w:rsidRPr="00545228">
        <w:rPr>
          <w:rFonts w:cs="Traditional Arabic"/>
          <w:szCs w:val="36"/>
          <w:lang w:val="id-ID"/>
        </w:rPr>
        <w:t xml:space="preserve"> to the people of Urainah in relation to the previous law; (2) the meaning of the equation of killing one person is the same as killing all human beings that has been existed in the book before the Qur'an. After explaining the understanding of the verse through the perspective of the mufasir as a representation of the concepts of ulūm al-qur'ān, it is necessary to enrich the reading from a different </w:t>
      </w:r>
      <w:r w:rsidRPr="00545228">
        <w:rPr>
          <w:rFonts w:cs="Traditional Arabic"/>
          <w:szCs w:val="36"/>
          <w:lang w:val="id-ID"/>
        </w:rPr>
        <w:lastRenderedPageBreak/>
        <w:t>perspective. In the next discussion, explaining the orientalist view in the intertextual reading of Qs. al-Maidah: 32-33.</w:t>
      </w:r>
    </w:p>
    <w:p w14:paraId="57E9A01D" w14:textId="3E008B56" w:rsidR="003916B4" w:rsidRDefault="003916B4" w:rsidP="003916B4">
      <w:pPr>
        <w:pStyle w:val="Judul1"/>
        <w:jc w:val="both"/>
        <w:rPr>
          <w:rFonts w:asciiTheme="majorBidi" w:hAnsiTheme="majorBidi"/>
          <w:b/>
          <w:color w:val="auto"/>
          <w:sz w:val="24"/>
          <w:szCs w:val="24"/>
        </w:rPr>
      </w:pPr>
      <w:r>
        <w:rPr>
          <w:rFonts w:asciiTheme="majorBidi" w:hAnsiTheme="majorBidi"/>
          <w:b/>
          <w:color w:val="auto"/>
          <w:sz w:val="24"/>
          <w:szCs w:val="24"/>
        </w:rPr>
        <w:t>The Orientalists’ View on Qs. Al-Maidah: 32-33</w:t>
      </w:r>
    </w:p>
    <w:p w14:paraId="096C422B" w14:textId="06EABA56" w:rsidR="003916B4" w:rsidRPr="0044734A" w:rsidRDefault="003916B4" w:rsidP="003916B4">
      <w:pPr>
        <w:spacing w:line="360" w:lineRule="auto"/>
        <w:ind w:firstLine="567"/>
        <w:jc w:val="both"/>
        <w:rPr>
          <w:rFonts w:cs="Traditional Arabic"/>
          <w:szCs w:val="36"/>
        </w:rPr>
      </w:pPr>
      <w:r w:rsidRPr="0044734A">
        <w:rPr>
          <w:rFonts w:cs="Traditional Arabic"/>
          <w:szCs w:val="36"/>
        </w:rPr>
        <w:t xml:space="preserve">With regard to the </w:t>
      </w:r>
      <w:r w:rsidRPr="00774253">
        <w:rPr>
          <w:rFonts w:cs="Traditional Arabic"/>
          <w:i/>
          <w:iCs/>
          <w:szCs w:val="36"/>
        </w:rPr>
        <w:t>munāsabah</w:t>
      </w:r>
      <w:r w:rsidRPr="0044734A">
        <w:rPr>
          <w:rFonts w:cs="Traditional Arabic"/>
          <w:szCs w:val="36"/>
        </w:rPr>
        <w:t xml:space="preserve"> of verse 32 with the verses before and after it, Cuypers use</w:t>
      </w:r>
      <w:r w:rsidR="000B5E86">
        <w:rPr>
          <w:rFonts w:cs="Traditional Arabic"/>
          <w:szCs w:val="36"/>
        </w:rPr>
        <w:t>d</w:t>
      </w:r>
      <w:r w:rsidRPr="0044734A">
        <w:rPr>
          <w:rFonts w:cs="Traditional Arabic"/>
          <w:szCs w:val="36"/>
        </w:rPr>
        <w:t xml:space="preserve"> Semitic Rhetoric Analysis (SRA) to see the cohesiveness of al-Maidah 32. Cuypers set the verse as a pivot or centre that binds the two discussions - namely verses 27-31 and 32-40 - that accompany it. In more detail, Cuypers ma</w:t>
      </w:r>
      <w:r w:rsidR="000B5E86">
        <w:rPr>
          <w:rFonts w:cs="Traditional Arabic"/>
          <w:szCs w:val="36"/>
        </w:rPr>
        <w:t>de</w:t>
      </w:r>
      <w:r w:rsidRPr="0044734A">
        <w:rPr>
          <w:rFonts w:cs="Traditional Arabic"/>
          <w:szCs w:val="36"/>
        </w:rPr>
        <w:t xml:space="preserve"> the group of verses 27-40 of Surah al-Maidah into a fragment with the theme ‘Punishment for the disobedient Children of Israel’.</w:t>
      </w:r>
      <w:r>
        <w:rPr>
          <w:rFonts w:ascii="Cambria" w:eastAsia="Cambria" w:hAnsi="Cambria" w:cs="Cambria"/>
          <w:color w:val="000000"/>
          <w:sz w:val="21"/>
          <w:szCs w:val="21"/>
          <w:vertAlign w:val="superscript"/>
        </w:rPr>
        <w:footnoteReference w:id="79"/>
      </w:r>
      <w:r w:rsidRPr="0044734A">
        <w:rPr>
          <w:rFonts w:cs="Traditional Arabic"/>
          <w:szCs w:val="36"/>
        </w:rPr>
        <w:t xml:space="preserve"> Cuypers strengthen</w:t>
      </w:r>
      <w:r w:rsidR="000B5E86">
        <w:rPr>
          <w:rFonts w:cs="Traditional Arabic"/>
          <w:szCs w:val="36"/>
        </w:rPr>
        <w:t>ed</w:t>
      </w:r>
      <w:r w:rsidRPr="0044734A">
        <w:rPr>
          <w:rFonts w:cs="Traditional Arabic"/>
          <w:szCs w:val="36"/>
        </w:rPr>
        <w:t xml:space="preserve"> his argument by quoting al-Tabari</w:t>
      </w:r>
      <w:r>
        <w:rPr>
          <w:rFonts w:ascii="Cambria" w:eastAsia="Cambria" w:hAnsi="Cambria" w:cs="Cambria"/>
          <w:color w:val="000000"/>
          <w:sz w:val="21"/>
          <w:szCs w:val="21"/>
          <w:vertAlign w:val="superscript"/>
        </w:rPr>
        <w:footnoteReference w:id="80"/>
      </w:r>
      <w:r w:rsidRPr="0044734A">
        <w:rPr>
          <w:rFonts w:cs="Traditional Arabic"/>
          <w:szCs w:val="36"/>
        </w:rPr>
        <w:t>, that this verse is set after the hijrah in the context when the Jews planned to commit a conspiracy or treason against the Prophet and the Companions.</w:t>
      </w:r>
      <w:r>
        <w:rPr>
          <w:rFonts w:ascii="Cambria" w:eastAsia="Cambria" w:hAnsi="Cambria" w:cs="Cambria"/>
          <w:color w:val="000000"/>
          <w:sz w:val="21"/>
          <w:szCs w:val="21"/>
          <w:vertAlign w:val="superscript"/>
        </w:rPr>
        <w:footnoteReference w:id="81"/>
      </w:r>
      <w:r w:rsidRPr="0044734A">
        <w:rPr>
          <w:rFonts w:cs="Traditional Arabic"/>
          <w:szCs w:val="36"/>
        </w:rPr>
        <w:t xml:space="preserve"> </w:t>
      </w:r>
    </w:p>
    <w:p w14:paraId="193311D6" w14:textId="275EF802" w:rsidR="003916B4" w:rsidRDefault="003916B4" w:rsidP="003916B4">
      <w:pPr>
        <w:spacing w:line="360" w:lineRule="auto"/>
        <w:ind w:firstLine="567"/>
        <w:jc w:val="both"/>
        <w:rPr>
          <w:rFonts w:cs="Traditional Arabic"/>
          <w:szCs w:val="36"/>
        </w:rPr>
      </w:pPr>
      <w:r w:rsidRPr="0044734A">
        <w:rPr>
          <w:rFonts w:cs="Traditional Arabic"/>
          <w:szCs w:val="36"/>
        </w:rPr>
        <w:t>Cuypers</w:t>
      </w:r>
      <w:r>
        <w:rPr>
          <w:rFonts w:ascii="Cambria" w:eastAsia="Cambria" w:hAnsi="Cambria" w:cs="Cambria"/>
          <w:color w:val="000000"/>
          <w:sz w:val="21"/>
          <w:szCs w:val="21"/>
          <w:vertAlign w:val="superscript"/>
        </w:rPr>
        <w:footnoteReference w:id="82"/>
      </w:r>
      <w:r w:rsidRPr="0044734A">
        <w:rPr>
          <w:rFonts w:cs="Traditional Arabic"/>
          <w:szCs w:val="36"/>
        </w:rPr>
        <w:t xml:space="preserve"> then compare</w:t>
      </w:r>
      <w:r w:rsidR="000B5E86">
        <w:rPr>
          <w:rFonts w:cs="Traditional Arabic"/>
          <w:szCs w:val="36"/>
        </w:rPr>
        <w:t>d</w:t>
      </w:r>
      <w:r w:rsidRPr="0044734A">
        <w:rPr>
          <w:rFonts w:cs="Traditional Arabic"/>
          <w:szCs w:val="36"/>
        </w:rPr>
        <w:t xml:space="preserve"> the verse in parallel with sacred texts in the Biblical tradition, his findings - in which he surmises that this is not a coincidence - show that Qs. al-Maidah: 32 is sourced from the Misnah Sinhedrin:</w:t>
      </w:r>
    </w:p>
    <w:p w14:paraId="57400AA5" w14:textId="77777777" w:rsidR="003916B4" w:rsidRPr="0044734A" w:rsidRDefault="003916B4" w:rsidP="003916B4">
      <w:pPr>
        <w:ind w:left="567"/>
        <w:jc w:val="both"/>
        <w:rPr>
          <w:rFonts w:cs="Traditional Arabic"/>
          <w:szCs w:val="36"/>
        </w:rPr>
      </w:pPr>
      <w:r w:rsidRPr="0044734A">
        <w:rPr>
          <w:rFonts w:ascii="Cambria" w:hAnsi="Cambria"/>
        </w:rPr>
        <w:t xml:space="preserve">For so have we found it with Cain that slew his brother, for it is written. </w:t>
      </w:r>
      <w:r w:rsidRPr="00A01FCA">
        <w:rPr>
          <w:rFonts w:ascii="Cambria" w:hAnsi="Cambria"/>
          <w:i/>
          <w:iCs/>
        </w:rPr>
        <w:t>The bloods of thy brother cry</w:t>
      </w:r>
      <w:r w:rsidRPr="0044734A">
        <w:rPr>
          <w:rFonts w:ascii="Cambria" w:hAnsi="Cambria"/>
        </w:rPr>
        <w:t>.</w:t>
      </w:r>
      <w:r>
        <w:rPr>
          <w:rFonts w:ascii="Cambria" w:eastAsia="Cambria" w:hAnsi="Cambria" w:cs="Cambria"/>
          <w:color w:val="000000"/>
          <w:sz w:val="21"/>
          <w:szCs w:val="21"/>
          <w:vertAlign w:val="superscript"/>
        </w:rPr>
        <w:footnoteReference w:id="83"/>
      </w:r>
      <w:r w:rsidRPr="0044734A">
        <w:rPr>
          <w:rFonts w:ascii="Cambria" w:hAnsi="Cambria"/>
        </w:rPr>
        <w:t xml:space="preserve"> It says not '</w:t>
      </w:r>
      <w:r w:rsidRPr="00A01FCA">
        <w:rPr>
          <w:rFonts w:ascii="Cambria" w:hAnsi="Cambria"/>
          <w:i/>
          <w:iCs/>
        </w:rPr>
        <w:t>The blood of thy brother</w:t>
      </w:r>
      <w:r w:rsidRPr="0044734A">
        <w:rPr>
          <w:rFonts w:ascii="Cambria" w:hAnsi="Cambria"/>
        </w:rPr>
        <w:t>', but The bloods of thy brother—his blood and the blood of his posterity.</w:t>
      </w:r>
      <w:r>
        <w:rPr>
          <w:rFonts w:ascii="Cambria" w:eastAsia="Cambria" w:hAnsi="Cambria" w:cs="Cambria"/>
          <w:color w:val="000000"/>
          <w:sz w:val="21"/>
          <w:szCs w:val="21"/>
          <w:vertAlign w:val="superscript"/>
        </w:rPr>
        <w:footnoteReference w:id="84"/>
      </w:r>
    </w:p>
    <w:p w14:paraId="4EE535DB" w14:textId="77777777" w:rsidR="003916B4" w:rsidRDefault="003916B4" w:rsidP="003916B4">
      <w:pPr>
        <w:spacing w:line="360" w:lineRule="auto"/>
        <w:ind w:firstLine="567"/>
        <w:jc w:val="both"/>
        <w:rPr>
          <w:rFonts w:cs="Traditional Arabic"/>
          <w:szCs w:val="36"/>
        </w:rPr>
      </w:pPr>
      <w:r w:rsidRPr="0044734A">
        <w:rPr>
          <w:rFonts w:cs="Traditional Arabic"/>
          <w:szCs w:val="36"/>
        </w:rPr>
        <w:t>The Mishnah is the primary scripture of Judaism, written between 70 C.E. and later published after 200 C.E.</w:t>
      </w:r>
      <w:r>
        <w:rPr>
          <w:rFonts w:ascii="Cambria" w:eastAsia="Cambria" w:hAnsi="Cambria" w:cs="Cambria"/>
          <w:color w:val="000000"/>
          <w:sz w:val="21"/>
          <w:szCs w:val="21"/>
          <w:vertAlign w:val="superscript"/>
        </w:rPr>
        <w:footnoteReference w:id="85"/>
      </w:r>
      <w:r w:rsidRPr="0044734A">
        <w:rPr>
          <w:rFonts w:cs="Traditional Arabic"/>
          <w:szCs w:val="36"/>
        </w:rPr>
        <w:t xml:space="preserve"> The term ‘scripture’ is a Jewish perspective as a form of honouring the preservation of the teachings in the Hebrew scriptures, however the Mishnah does not imitate the writing style of the Hebrew Bible, nor does it attribute its words to central figures, such as </w:t>
      </w:r>
      <w:r w:rsidRPr="0044734A">
        <w:rPr>
          <w:rFonts w:cs="Traditional Arabic"/>
          <w:szCs w:val="36"/>
        </w:rPr>
        <w:lastRenderedPageBreak/>
        <w:t>heroes, prophets, or saints in the Bible.</w:t>
      </w:r>
      <w:r>
        <w:rPr>
          <w:rFonts w:ascii="Cambria" w:eastAsia="Cambria" w:hAnsi="Cambria" w:cs="Cambria"/>
          <w:color w:val="000000"/>
          <w:sz w:val="21"/>
          <w:szCs w:val="21"/>
          <w:vertAlign w:val="superscript"/>
        </w:rPr>
        <w:footnoteReference w:id="86"/>
      </w:r>
    </w:p>
    <w:p w14:paraId="4A4FEB33" w14:textId="77777777" w:rsidR="003916B4" w:rsidRDefault="003916B4" w:rsidP="003916B4">
      <w:pPr>
        <w:spacing w:line="360" w:lineRule="auto"/>
        <w:ind w:firstLine="567"/>
        <w:jc w:val="both"/>
        <w:rPr>
          <w:rFonts w:cs="Traditional Arabic"/>
          <w:szCs w:val="36"/>
        </w:rPr>
      </w:pPr>
      <w:r w:rsidRPr="0044734A">
        <w:rPr>
          <w:rFonts w:cs="Traditional Arabic"/>
          <w:szCs w:val="36"/>
        </w:rPr>
        <w:t>Yasin al-Fadani</w:t>
      </w:r>
      <w:r>
        <w:rPr>
          <w:rFonts w:ascii="Cambria" w:eastAsia="Cambria" w:hAnsi="Cambria" w:cs="Cambria"/>
          <w:color w:val="000000"/>
          <w:sz w:val="21"/>
          <w:szCs w:val="21"/>
          <w:vertAlign w:val="superscript"/>
        </w:rPr>
        <w:footnoteReference w:id="87"/>
      </w:r>
      <w:r w:rsidRPr="0044734A">
        <w:rPr>
          <w:rFonts w:cs="Traditional Arabic"/>
          <w:szCs w:val="36"/>
        </w:rPr>
        <w:t xml:space="preserve"> in his review of the book al-Luma' of Abu Ishaq mentions several opinions related to the term Shar'u man qablana, in one opinion related to the definition of the term, states “the Shari'ah of Moses is our Shari'ah (Islam) except that which is abrogated by the Shari'ah of Isa”. Then al-Fadaniy includes the argument in Qs. al-Maidah: 44,</w:t>
      </w:r>
    </w:p>
    <w:p w14:paraId="76FED8CB" w14:textId="77777777" w:rsidR="003916B4" w:rsidRPr="0044734A" w:rsidRDefault="003916B4" w:rsidP="003916B4">
      <w:pPr>
        <w:ind w:left="567"/>
        <w:jc w:val="both"/>
        <w:rPr>
          <w:rFonts w:cs="Traditional Arabic"/>
          <w:szCs w:val="36"/>
        </w:rPr>
      </w:pPr>
      <w:r w:rsidRPr="0044734A">
        <w:rPr>
          <w:rFonts w:cs="Traditional Arabic"/>
          <w:szCs w:val="36"/>
        </w:rPr>
        <w:t>‘Indeed We have sent down the Torah. In it are guidance and light. With it the prophets, who surrendered (to Allah), gave judgement on the matters of the Jews. And their rabbis and scholars also gave judgement, for they were commanded by Allah to guard the Book of Allah, and they were witnesses to it.’</w:t>
      </w:r>
      <w:r>
        <w:rPr>
          <w:rFonts w:ascii="Cambria" w:eastAsia="Cambria" w:hAnsi="Cambria" w:cs="Cambria"/>
          <w:color w:val="000000"/>
          <w:sz w:val="21"/>
          <w:szCs w:val="21"/>
          <w:vertAlign w:val="superscript"/>
        </w:rPr>
        <w:footnoteReference w:id="88"/>
      </w:r>
    </w:p>
    <w:p w14:paraId="29CFD8B6" w14:textId="77777777" w:rsidR="003916B4" w:rsidRDefault="003916B4" w:rsidP="003916B4">
      <w:pPr>
        <w:spacing w:line="360" w:lineRule="auto"/>
        <w:ind w:firstLine="567"/>
        <w:jc w:val="both"/>
        <w:rPr>
          <w:rFonts w:cs="Traditional Arabic"/>
          <w:szCs w:val="36"/>
        </w:rPr>
      </w:pPr>
      <w:r w:rsidRPr="0044734A">
        <w:rPr>
          <w:rFonts w:cs="Traditional Arabic"/>
          <w:szCs w:val="36"/>
        </w:rPr>
        <w:t xml:space="preserve">This opinion - according to the author - can be used as an affirmation of the Jews' assumption of the sacredness of the Mishnah. This has implications for the validity </w:t>
      </w:r>
      <w:r w:rsidRPr="0044734A">
        <w:rPr>
          <w:rFonts w:cs="Traditional Arabic"/>
          <w:szCs w:val="36"/>
        </w:rPr>
        <w:t>of efforts to intertextualise the Qur'an with Biblical sources.</w:t>
      </w:r>
    </w:p>
    <w:p w14:paraId="761BE412" w14:textId="77777777" w:rsidR="00B23DC8" w:rsidRDefault="003916B4" w:rsidP="003916B4">
      <w:pPr>
        <w:spacing w:line="360" w:lineRule="auto"/>
        <w:ind w:firstLine="567"/>
        <w:jc w:val="both"/>
        <w:rPr>
          <w:rFonts w:cs="Traditional Arabic"/>
          <w:szCs w:val="36"/>
        </w:rPr>
      </w:pPr>
      <w:r w:rsidRPr="0044734A">
        <w:rPr>
          <w:rFonts w:cs="Traditional Arabic"/>
          <w:szCs w:val="36"/>
        </w:rPr>
        <w:t>Cuypers</w:t>
      </w:r>
      <w:r>
        <w:rPr>
          <w:rFonts w:ascii="Cambria" w:eastAsia="Cambria" w:hAnsi="Cambria" w:cs="Cambria"/>
          <w:color w:val="000000"/>
          <w:sz w:val="21"/>
          <w:szCs w:val="21"/>
          <w:vertAlign w:val="superscript"/>
        </w:rPr>
        <w:footnoteReference w:id="89"/>
      </w:r>
      <w:r w:rsidRPr="0044734A">
        <w:rPr>
          <w:rFonts w:cs="Traditional Arabic"/>
          <w:szCs w:val="36"/>
        </w:rPr>
        <w:t xml:space="preserve"> s</w:t>
      </w:r>
      <w:r w:rsidR="000B5E86">
        <w:rPr>
          <w:rFonts w:cs="Traditional Arabic"/>
          <w:szCs w:val="36"/>
        </w:rPr>
        <w:t>aw</w:t>
      </w:r>
      <w:r w:rsidRPr="0044734A">
        <w:rPr>
          <w:rFonts w:cs="Traditional Arabic"/>
          <w:szCs w:val="36"/>
        </w:rPr>
        <w:t xml:space="preserve"> a fundamental similarity in the use of the word ‘soul’. The Qur'an and the Misnah make the issue of killing or defending life a universal issue that concerns every human being, regardless of whether he or she is a Children of Israel or not. </w:t>
      </w:r>
    </w:p>
    <w:p w14:paraId="25B9866D" w14:textId="2644A5A2" w:rsidR="003916B4" w:rsidRDefault="003916B4" w:rsidP="003916B4">
      <w:pPr>
        <w:spacing w:line="360" w:lineRule="auto"/>
        <w:ind w:firstLine="567"/>
        <w:jc w:val="both"/>
        <w:rPr>
          <w:rFonts w:cs="Traditional Arabic"/>
          <w:szCs w:val="36"/>
        </w:rPr>
      </w:pPr>
      <w:r w:rsidRPr="0044734A">
        <w:rPr>
          <w:rFonts w:cs="Traditional Arabic"/>
          <w:szCs w:val="36"/>
        </w:rPr>
        <w:t xml:space="preserve">Unlike Cuypers, </w:t>
      </w:r>
      <w:r w:rsidR="00B23DC8">
        <w:rPr>
          <w:rFonts w:cs="Traditional Arabic"/>
          <w:szCs w:val="36"/>
        </w:rPr>
        <w:t xml:space="preserve">Joseph Benzion </w:t>
      </w:r>
      <w:r w:rsidRPr="0044734A">
        <w:rPr>
          <w:rFonts w:cs="Traditional Arabic"/>
          <w:szCs w:val="36"/>
        </w:rPr>
        <w:t>Witztum</w:t>
      </w:r>
      <w:r>
        <w:rPr>
          <w:rFonts w:ascii="Cambria" w:eastAsia="Cambria" w:hAnsi="Cambria" w:cs="Cambria"/>
          <w:color w:val="000000"/>
          <w:sz w:val="21"/>
          <w:szCs w:val="21"/>
          <w:vertAlign w:val="superscript"/>
        </w:rPr>
        <w:footnoteReference w:id="90"/>
      </w:r>
      <w:r w:rsidRPr="0044734A">
        <w:rPr>
          <w:rFonts w:cs="Traditional Arabic"/>
          <w:szCs w:val="36"/>
        </w:rPr>
        <w:t xml:space="preserve"> sees a significant difference between the Qur'an and the Misnah in discussing the topic of ‘soul/life’. According to him, the Qur'an uses this expression in an anti-Jewish polemical function, which in the story of Qabil and Habil is only used as a prologue to allude to the failure of the Jews to implement the contents of their teachings. Meanwhile, Misnah uses the rhetorical expression in the function of encouraging high caution in matters of life and death.</w:t>
      </w:r>
    </w:p>
    <w:p w14:paraId="5966C1F0" w14:textId="77777777" w:rsidR="003916B4" w:rsidRDefault="003916B4" w:rsidP="003916B4">
      <w:pPr>
        <w:spacing w:line="360" w:lineRule="auto"/>
        <w:ind w:firstLine="567"/>
        <w:jc w:val="both"/>
        <w:rPr>
          <w:rFonts w:cs="Traditional Arabic"/>
          <w:szCs w:val="36"/>
        </w:rPr>
      </w:pPr>
      <w:r w:rsidRPr="0044734A">
        <w:rPr>
          <w:rFonts w:cs="Traditional Arabic"/>
          <w:szCs w:val="36"/>
        </w:rPr>
        <w:t xml:space="preserve">The author does not see the difference between Cuypers and </w:t>
      </w:r>
      <w:r w:rsidRPr="0044734A">
        <w:rPr>
          <w:rFonts w:cs="Traditional Arabic"/>
          <w:szCs w:val="36"/>
        </w:rPr>
        <w:lastRenderedPageBreak/>
        <w:t>Witztum above as contradictory, this is because Cuypers sees the similarity of the Qur'an and Misnah from the perspective of idealism, while Witztum sees from the perspective of materialism. According to Cuypers, the essence of Qs. al-Maidah: 27-40 and Misnah Sanhedrin 4:1 is the idea of respecting life. As for Witztum more consider the material aspects - verses - after Qs. al-Maidah: 32, especially the allusion to the Jews as the rhetorical object.</w:t>
      </w:r>
    </w:p>
    <w:p w14:paraId="562AF2D2" w14:textId="32931118" w:rsidR="003916B4" w:rsidRDefault="003916B4" w:rsidP="003916B4">
      <w:pPr>
        <w:spacing w:line="360" w:lineRule="auto"/>
        <w:ind w:firstLine="567"/>
        <w:jc w:val="both"/>
        <w:rPr>
          <w:rFonts w:cs="Traditional Arabic"/>
          <w:szCs w:val="36"/>
        </w:rPr>
      </w:pPr>
      <w:r w:rsidRPr="00582AE9">
        <w:rPr>
          <w:rFonts w:cs="Traditional Arabic"/>
          <w:szCs w:val="36"/>
        </w:rPr>
        <w:t xml:space="preserve">The difference in paradigm between Cuypers and Witztum - as well as other tafsir scholars - indirectly shows the emphasis of verse 32 historically and normatively. Historically, the verse is limited to sarcasm for the Jews of Medina, while normatively it affirms the message of humanity that must be upheld by all humans - not only the Children of Israel. </w:t>
      </w:r>
    </w:p>
    <w:p w14:paraId="42778C30" w14:textId="3913867F" w:rsidR="00CA4BAB" w:rsidRPr="003215DE" w:rsidRDefault="003215DE" w:rsidP="002B7684">
      <w:pPr>
        <w:pStyle w:val="Judul1"/>
        <w:jc w:val="both"/>
        <w:rPr>
          <w:rFonts w:asciiTheme="majorBidi" w:hAnsiTheme="majorBidi"/>
          <w:b/>
          <w:color w:val="auto"/>
          <w:sz w:val="24"/>
          <w:szCs w:val="24"/>
        </w:rPr>
      </w:pPr>
      <w:r>
        <w:rPr>
          <w:rFonts w:asciiTheme="majorBidi" w:hAnsiTheme="majorBidi"/>
          <w:b/>
          <w:color w:val="auto"/>
          <w:sz w:val="24"/>
          <w:szCs w:val="24"/>
        </w:rPr>
        <w:t xml:space="preserve">Intertextual </w:t>
      </w:r>
      <w:r w:rsidRPr="003215DE">
        <w:rPr>
          <w:rFonts w:asciiTheme="majorBidi" w:hAnsiTheme="majorBidi"/>
          <w:b/>
          <w:color w:val="auto"/>
          <w:sz w:val="24"/>
          <w:szCs w:val="24"/>
        </w:rPr>
        <w:t xml:space="preserve">Reinterpretation </w:t>
      </w:r>
      <w:r>
        <w:rPr>
          <w:rFonts w:asciiTheme="majorBidi" w:hAnsiTheme="majorBidi"/>
          <w:b/>
          <w:color w:val="auto"/>
          <w:sz w:val="24"/>
          <w:szCs w:val="24"/>
        </w:rPr>
        <w:t>o</w:t>
      </w:r>
      <w:r w:rsidRPr="003215DE">
        <w:rPr>
          <w:rFonts w:asciiTheme="majorBidi" w:hAnsiTheme="majorBidi"/>
          <w:b/>
          <w:color w:val="auto"/>
          <w:sz w:val="24"/>
          <w:szCs w:val="24"/>
        </w:rPr>
        <w:t xml:space="preserve">f The Concept </w:t>
      </w:r>
      <w:r>
        <w:rPr>
          <w:rFonts w:asciiTheme="majorBidi" w:hAnsiTheme="majorBidi"/>
          <w:b/>
          <w:color w:val="auto"/>
          <w:sz w:val="24"/>
          <w:szCs w:val="24"/>
        </w:rPr>
        <w:t>o</w:t>
      </w:r>
      <w:r w:rsidRPr="003215DE">
        <w:rPr>
          <w:rFonts w:asciiTheme="majorBidi" w:hAnsiTheme="majorBidi"/>
          <w:b/>
          <w:color w:val="auto"/>
          <w:sz w:val="24"/>
          <w:szCs w:val="24"/>
        </w:rPr>
        <w:t xml:space="preserve">f Qiṣāṣ In Qs. Al-Maidah: 32-33 </w:t>
      </w:r>
    </w:p>
    <w:p w14:paraId="2CE0ACF0" w14:textId="77777777" w:rsidR="0044734A" w:rsidRDefault="0044734A" w:rsidP="0044734A">
      <w:pPr>
        <w:spacing w:line="360" w:lineRule="auto"/>
        <w:ind w:firstLine="567"/>
        <w:jc w:val="both"/>
        <w:rPr>
          <w:rFonts w:cs="Traditional Arabic"/>
          <w:szCs w:val="36"/>
        </w:rPr>
      </w:pPr>
      <w:r w:rsidRPr="0044734A">
        <w:rPr>
          <w:rFonts w:cs="Traditional Arabic"/>
          <w:szCs w:val="36"/>
        </w:rPr>
        <w:t xml:space="preserve">After explaining the intertextual problem in the previous sub-chapter, this discussion directly </w:t>
      </w:r>
      <w:r w:rsidRPr="0044734A">
        <w:rPr>
          <w:rFonts w:cs="Traditional Arabic"/>
          <w:szCs w:val="36"/>
        </w:rPr>
        <w:t xml:space="preserve">explains the orientalist interpretation as well as criticising the interpretation based on the perspective of scholarly interpretation. The purpose of this critique is to reinterpret the intertextual problem above. The analysis in this sub-chapter is presented causally and gradually, in accordance with the pattern of the scholars' interpretation, starting from </w:t>
      </w:r>
      <w:r w:rsidRPr="009917B8">
        <w:rPr>
          <w:rFonts w:cs="Traditional Arabic"/>
          <w:i/>
          <w:iCs/>
          <w:szCs w:val="36"/>
        </w:rPr>
        <w:t>munāsabah</w:t>
      </w:r>
      <w:r w:rsidRPr="0044734A">
        <w:rPr>
          <w:rFonts w:cs="Traditional Arabic"/>
          <w:szCs w:val="36"/>
        </w:rPr>
        <w:t xml:space="preserve"> and ending with the reinterpretation of the equation “</w:t>
      </w:r>
      <w:r w:rsidRPr="009917B8">
        <w:rPr>
          <w:rFonts w:cs="Traditional Arabic"/>
          <w:i/>
          <w:iCs/>
          <w:szCs w:val="36"/>
        </w:rPr>
        <w:t>killing one person is the same as killing all human beings</w:t>
      </w:r>
      <w:r w:rsidRPr="0044734A">
        <w:rPr>
          <w:rFonts w:cs="Traditional Arabic"/>
          <w:szCs w:val="36"/>
        </w:rPr>
        <w:t>”.</w:t>
      </w:r>
    </w:p>
    <w:p w14:paraId="207750AA" w14:textId="24429E93" w:rsidR="00582AE9" w:rsidRDefault="00582AE9" w:rsidP="00582AE9">
      <w:pPr>
        <w:spacing w:line="360" w:lineRule="auto"/>
        <w:ind w:firstLine="567"/>
        <w:jc w:val="both"/>
        <w:rPr>
          <w:rFonts w:cs="Traditional Arabic"/>
          <w:szCs w:val="36"/>
        </w:rPr>
      </w:pPr>
      <w:r w:rsidRPr="00582AE9">
        <w:rPr>
          <w:rFonts w:cs="Traditional Arabic"/>
          <w:szCs w:val="36"/>
        </w:rPr>
        <w:t xml:space="preserve">With regard to </w:t>
      </w:r>
      <w:r w:rsidRPr="00A01FCA">
        <w:rPr>
          <w:rFonts w:cs="Traditional Arabic"/>
          <w:i/>
          <w:iCs/>
          <w:szCs w:val="36"/>
        </w:rPr>
        <w:t>sabab al-nuzūl</w:t>
      </w:r>
      <w:r w:rsidRPr="00582AE9">
        <w:rPr>
          <w:rFonts w:cs="Traditional Arabic"/>
          <w:szCs w:val="36"/>
        </w:rPr>
        <w:t xml:space="preserve"> verse 32 and its urgency in interpretation. The word ‘urgency’ is used to assess the extent to which </w:t>
      </w:r>
      <w:r w:rsidRPr="00A01FCA">
        <w:rPr>
          <w:rFonts w:cs="Traditional Arabic"/>
          <w:i/>
          <w:iCs/>
          <w:szCs w:val="36"/>
        </w:rPr>
        <w:t>sabab al-nuzūl</w:t>
      </w:r>
      <w:r w:rsidRPr="00582AE9">
        <w:rPr>
          <w:rFonts w:cs="Traditional Arabic"/>
          <w:szCs w:val="36"/>
        </w:rPr>
        <w:t xml:space="preserve"> plays a role in the interpretation of the verse. In relation to </w:t>
      </w:r>
      <w:r w:rsidRPr="009917B8">
        <w:rPr>
          <w:rFonts w:cs="Traditional Arabic"/>
          <w:i/>
          <w:iCs/>
          <w:szCs w:val="36"/>
        </w:rPr>
        <w:t>qiṣāṣ</w:t>
      </w:r>
      <w:r w:rsidRPr="00582AE9">
        <w:rPr>
          <w:rFonts w:cs="Traditional Arabic"/>
          <w:szCs w:val="36"/>
        </w:rPr>
        <w:t xml:space="preserve">, as Ibn al-'Arabi has confirmed, the law existed before the advent of Islam, either from the Jahiliyyah tradition or the Shari'ah of the previous prophet. Through the lens of </w:t>
      </w:r>
      <w:r w:rsidRPr="00A01FCA">
        <w:rPr>
          <w:rFonts w:cs="Traditional Arabic"/>
          <w:i/>
          <w:iCs/>
          <w:szCs w:val="36"/>
        </w:rPr>
        <w:t>nasikh-mansukh</w:t>
      </w:r>
      <w:r w:rsidRPr="00582AE9">
        <w:rPr>
          <w:rFonts w:cs="Traditional Arabic"/>
          <w:szCs w:val="36"/>
        </w:rPr>
        <w:t xml:space="preserve">, Ibn al-'Arabi chose the Prophet's earlier Shari'ah as the setting of the </w:t>
      </w:r>
      <w:r w:rsidRPr="009917B8">
        <w:rPr>
          <w:rFonts w:cs="Traditional Arabic"/>
          <w:i/>
          <w:iCs/>
          <w:szCs w:val="36"/>
        </w:rPr>
        <w:t>qiṣāṣ</w:t>
      </w:r>
      <w:r w:rsidRPr="00582AE9">
        <w:rPr>
          <w:rFonts w:cs="Traditional Arabic"/>
          <w:szCs w:val="36"/>
        </w:rPr>
        <w:t xml:space="preserve"> verse, Qs. al-Baqarah: 178-179.</w:t>
      </w:r>
    </w:p>
    <w:p w14:paraId="50781EE3" w14:textId="24326A3C" w:rsidR="00582AE9" w:rsidRDefault="00582AE9" w:rsidP="00582AE9">
      <w:pPr>
        <w:spacing w:line="360" w:lineRule="auto"/>
        <w:ind w:firstLine="567"/>
        <w:jc w:val="both"/>
        <w:rPr>
          <w:rFonts w:cs="Traditional Arabic"/>
          <w:szCs w:val="36"/>
        </w:rPr>
      </w:pPr>
      <w:r w:rsidRPr="00582AE9">
        <w:rPr>
          <w:rFonts w:cs="Traditional Arabic"/>
          <w:szCs w:val="36"/>
        </w:rPr>
        <w:lastRenderedPageBreak/>
        <w:t xml:space="preserve">The execution of </w:t>
      </w:r>
      <w:r w:rsidRPr="009917B8">
        <w:rPr>
          <w:rFonts w:cs="Traditional Arabic"/>
          <w:i/>
          <w:iCs/>
          <w:szCs w:val="36"/>
        </w:rPr>
        <w:t>qiṣāṣ</w:t>
      </w:r>
      <w:r w:rsidRPr="00582AE9">
        <w:rPr>
          <w:rFonts w:cs="Traditional Arabic"/>
          <w:szCs w:val="36"/>
        </w:rPr>
        <w:t xml:space="preserve"> to the people of Urainah implies that verse 32 was revealed as an affirmation of the Prophet's decision as well as amending the </w:t>
      </w:r>
      <w:r w:rsidRPr="00A01FCA">
        <w:rPr>
          <w:rFonts w:cs="Traditional Arabic"/>
          <w:i/>
          <w:iCs/>
          <w:szCs w:val="36"/>
        </w:rPr>
        <w:t>al-mutslah</w:t>
      </w:r>
      <w:r w:rsidRPr="00582AE9">
        <w:rPr>
          <w:rFonts w:cs="Traditional Arabic"/>
          <w:szCs w:val="36"/>
        </w:rPr>
        <w:t xml:space="preserve"> version of </w:t>
      </w:r>
      <w:r w:rsidRPr="009917B8">
        <w:rPr>
          <w:rFonts w:cs="Traditional Arabic"/>
          <w:i/>
          <w:iCs/>
          <w:szCs w:val="36"/>
        </w:rPr>
        <w:t>qiṣāṣ</w:t>
      </w:r>
      <w:r w:rsidRPr="00582AE9">
        <w:rPr>
          <w:rFonts w:cs="Traditional Arabic"/>
          <w:szCs w:val="36"/>
        </w:rPr>
        <w:t>, which is to punish the perpetrator as he treated the victim. This is confirmed by the testimony of the Companions after the incident, that the Prophet forbade retribution (</w:t>
      </w:r>
      <w:r w:rsidRPr="00A01FCA">
        <w:rPr>
          <w:rFonts w:cs="Traditional Arabic"/>
          <w:i/>
          <w:iCs/>
          <w:szCs w:val="36"/>
        </w:rPr>
        <w:t>al-mutslah</w:t>
      </w:r>
      <w:r w:rsidRPr="00582AE9">
        <w:rPr>
          <w:rFonts w:cs="Traditional Arabic"/>
          <w:szCs w:val="36"/>
        </w:rPr>
        <w:t>) and ordered reconciliation (</w:t>
      </w:r>
      <w:r w:rsidRPr="00A01FCA">
        <w:rPr>
          <w:rFonts w:cs="Traditional Arabic"/>
          <w:i/>
          <w:iCs/>
          <w:szCs w:val="36"/>
        </w:rPr>
        <w:t>al-taṣdduq</w:t>
      </w:r>
      <w:r w:rsidRPr="00582AE9">
        <w:rPr>
          <w:rFonts w:cs="Traditional Arabic"/>
          <w:szCs w:val="36"/>
        </w:rPr>
        <w:t xml:space="preserve">). According to some commentators, this is how the Islamic </w:t>
      </w:r>
      <w:r w:rsidRPr="009917B8">
        <w:rPr>
          <w:rFonts w:cs="Traditional Arabic"/>
          <w:i/>
          <w:iCs/>
          <w:szCs w:val="36"/>
        </w:rPr>
        <w:t>qiṣāṣ</w:t>
      </w:r>
      <w:r w:rsidRPr="00582AE9">
        <w:rPr>
          <w:rFonts w:cs="Traditional Arabic"/>
          <w:szCs w:val="36"/>
        </w:rPr>
        <w:t xml:space="preserve"> law differs from the </w:t>
      </w:r>
      <w:r w:rsidRPr="009917B8">
        <w:rPr>
          <w:rFonts w:cs="Traditional Arabic"/>
          <w:i/>
          <w:iCs/>
          <w:szCs w:val="36"/>
        </w:rPr>
        <w:t>qiṣāṣ</w:t>
      </w:r>
      <w:r w:rsidRPr="00582AE9">
        <w:rPr>
          <w:rFonts w:cs="Traditional Arabic"/>
          <w:szCs w:val="36"/>
        </w:rPr>
        <w:t xml:space="preserve"> of previous nations.</w:t>
      </w:r>
    </w:p>
    <w:p w14:paraId="1C5B396B" w14:textId="5F2F5216" w:rsidR="00582AE9" w:rsidRDefault="00582AE9" w:rsidP="00582AE9">
      <w:pPr>
        <w:spacing w:line="360" w:lineRule="auto"/>
        <w:ind w:firstLine="567"/>
        <w:jc w:val="both"/>
        <w:rPr>
          <w:rFonts w:cs="Traditional Arabic"/>
          <w:szCs w:val="36"/>
        </w:rPr>
      </w:pPr>
      <w:r w:rsidRPr="00582AE9">
        <w:rPr>
          <w:rFonts w:cs="Traditional Arabic"/>
          <w:szCs w:val="36"/>
        </w:rPr>
        <w:t>The distinction proposed by the mufasir contradicts the data written in Misnah Sanhedrin 4:1. The article states:</w:t>
      </w:r>
    </w:p>
    <w:p w14:paraId="39391809" w14:textId="693CD485" w:rsidR="00582AE9" w:rsidRPr="00A6325E" w:rsidRDefault="00582AE9" w:rsidP="00582AE9">
      <w:pPr>
        <w:ind w:left="567"/>
        <w:jc w:val="both"/>
        <w:rPr>
          <w:rFonts w:asciiTheme="majorBidi" w:hAnsiTheme="majorBidi" w:cstheme="majorBidi"/>
        </w:rPr>
      </w:pPr>
      <w:r w:rsidRPr="00A6325E">
        <w:rPr>
          <w:rFonts w:asciiTheme="majorBidi" w:hAnsiTheme="majorBidi" w:cstheme="majorBidi"/>
        </w:rPr>
        <w:t>Know, moreover, that capital cases are not as non-capital cases: in non-capital cases a man may pay money and so make atonement, but in capital cases the witness is answerable for the blood of him [that is wrongfully condemned]</w:t>
      </w:r>
      <w:r w:rsidR="00A01FCA" w:rsidRPr="00A6325E">
        <w:rPr>
          <w:rFonts w:asciiTheme="majorBidi" w:eastAsia="Cambria" w:hAnsiTheme="majorBidi" w:cstheme="majorBidi"/>
          <w:i/>
          <w:color w:val="000000"/>
          <w:sz w:val="21"/>
          <w:szCs w:val="21"/>
          <w:vertAlign w:val="superscript"/>
        </w:rPr>
        <w:footnoteReference w:id="91"/>
      </w:r>
    </w:p>
    <w:p w14:paraId="52C33D69" w14:textId="3861409D" w:rsidR="00582AE9" w:rsidRDefault="00582AE9" w:rsidP="0044734A">
      <w:pPr>
        <w:spacing w:line="360" w:lineRule="auto"/>
        <w:ind w:firstLine="567"/>
        <w:jc w:val="both"/>
        <w:rPr>
          <w:rFonts w:cs="Traditional Arabic"/>
          <w:szCs w:val="36"/>
        </w:rPr>
      </w:pPr>
      <w:r w:rsidRPr="00582AE9">
        <w:rPr>
          <w:rFonts w:cs="Traditional Arabic"/>
          <w:szCs w:val="36"/>
        </w:rPr>
        <w:t xml:space="preserve">The concept of ransom or diyat predates Islam, although it differs in the context in which it is applied. In Misnah, a witness who </w:t>
      </w:r>
      <w:r w:rsidRPr="00582AE9">
        <w:rPr>
          <w:rFonts w:cs="Traditional Arabic"/>
          <w:szCs w:val="36"/>
        </w:rPr>
        <w:t xml:space="preserve">misrepresented in a minor case to the detriment of someone could make amends with a fine. Although the concept of ransom after reconciliation did not exist in the earlier laws, it cannot necessarily be stated in general that the law of diyat did not exist in the earlier teachings. Although the Misnah cannot be called a book of revelation, the Qur'an's appreciation of the preservation of the teachings of the Torah legitimises the Misnah as a Biblical source and a book of Shari'ah of the previous people. Regarding </w:t>
      </w:r>
      <w:r w:rsidRPr="00A6325E">
        <w:rPr>
          <w:rFonts w:cs="Traditional Arabic"/>
          <w:i/>
          <w:iCs/>
          <w:szCs w:val="36"/>
        </w:rPr>
        <w:t>qiṣāṣ</w:t>
      </w:r>
      <w:r w:rsidRPr="00582AE9">
        <w:rPr>
          <w:rFonts w:cs="Traditional Arabic"/>
          <w:szCs w:val="36"/>
        </w:rPr>
        <w:t>, the Torah has already stated:</w:t>
      </w:r>
    </w:p>
    <w:p w14:paraId="2D40AE8F" w14:textId="44A93587" w:rsidR="00582AE9" w:rsidRPr="002B7684" w:rsidRDefault="00582AE9" w:rsidP="00582AE9">
      <w:pPr>
        <w:ind w:left="567"/>
        <w:jc w:val="both"/>
        <w:rPr>
          <w:rFonts w:asciiTheme="majorBidi" w:hAnsiTheme="majorBidi" w:cstheme="majorBidi"/>
          <w:szCs w:val="36"/>
        </w:rPr>
      </w:pPr>
      <w:r w:rsidRPr="002B7684">
        <w:rPr>
          <w:rFonts w:asciiTheme="majorBidi" w:hAnsiTheme="majorBidi" w:cstheme="majorBidi"/>
        </w:rPr>
        <w:t>17If anyone kills any human being, he shall be put to death. 18One who kills a beast shall make restitution for it: life for life. 19If anyone maims his fellow, as he has done so shall it be done to him: 20fracture for fracture, eye for eye, tooth for tooth. The injury he inflicted on another shall be inflicted on him. 21One who kills a beast shall make restitution for it; but one who kills a human being shall be put to death.</w:t>
      </w:r>
      <w:r w:rsidR="00A01FCA" w:rsidRPr="002B7684">
        <w:rPr>
          <w:rFonts w:asciiTheme="majorBidi" w:eastAsia="Cambria" w:hAnsiTheme="majorBidi" w:cstheme="majorBidi"/>
          <w:color w:val="000000"/>
          <w:sz w:val="21"/>
          <w:szCs w:val="21"/>
          <w:vertAlign w:val="superscript"/>
        </w:rPr>
        <w:footnoteReference w:id="92"/>
      </w:r>
      <w:r w:rsidRPr="002B7684">
        <w:rPr>
          <w:rFonts w:asciiTheme="majorBidi" w:hAnsiTheme="majorBidi" w:cstheme="majorBidi"/>
        </w:rPr>
        <w:t> </w:t>
      </w:r>
    </w:p>
    <w:p w14:paraId="4144EFC4" w14:textId="6BFFF992" w:rsidR="00582AE9" w:rsidRDefault="00582AE9" w:rsidP="0044734A">
      <w:pPr>
        <w:spacing w:line="360" w:lineRule="auto"/>
        <w:ind w:firstLine="567"/>
        <w:jc w:val="both"/>
        <w:rPr>
          <w:rFonts w:cs="Traditional Arabic"/>
          <w:szCs w:val="36"/>
        </w:rPr>
      </w:pPr>
      <w:r w:rsidRPr="002B7684">
        <w:rPr>
          <w:rFonts w:asciiTheme="majorBidi" w:hAnsiTheme="majorBidi" w:cstheme="majorBidi"/>
          <w:szCs w:val="36"/>
        </w:rPr>
        <w:lastRenderedPageBreak/>
        <w:t>Reynolds parallels</w:t>
      </w:r>
      <w:r w:rsidR="00A01FCA">
        <w:rPr>
          <w:rFonts w:ascii="Cambria" w:eastAsia="Cambria" w:hAnsi="Cambria" w:cs="Cambria"/>
          <w:color w:val="000000"/>
          <w:sz w:val="21"/>
          <w:szCs w:val="21"/>
          <w:vertAlign w:val="superscript"/>
        </w:rPr>
        <w:footnoteReference w:id="93"/>
      </w:r>
      <w:r w:rsidRPr="00582AE9">
        <w:rPr>
          <w:rFonts w:cs="Traditional Arabic"/>
          <w:szCs w:val="36"/>
        </w:rPr>
        <w:t xml:space="preserve"> Qs. al-Maidah: 45 with Leviticus 24:17-21 above. Qs. Al-Maidah: 45 reads:</w:t>
      </w:r>
    </w:p>
    <w:p w14:paraId="5D827652" w14:textId="7DD0099B" w:rsidR="00582AE9" w:rsidRDefault="005722DF" w:rsidP="005722DF">
      <w:pPr>
        <w:ind w:left="567"/>
        <w:jc w:val="both"/>
        <w:rPr>
          <w:rFonts w:cs="Traditional Arabic"/>
          <w:szCs w:val="36"/>
        </w:rPr>
      </w:pPr>
      <w:r w:rsidRPr="005722DF">
        <w:rPr>
          <w:rFonts w:cs="Traditional Arabic"/>
          <w:szCs w:val="36"/>
        </w:rPr>
        <w:t>‘We have ordained for them (the Children of Israel) therein (the Torah) that life shall be for life, eye for eye, nose for nose, ear for ear, tooth for tooth, and wounds (also) have their expiation. Whoever waives it, it will be a penance for him.’</w:t>
      </w:r>
      <w:r w:rsidR="00A01FCA">
        <w:rPr>
          <w:rFonts w:ascii="Cambria" w:eastAsia="Cambria" w:hAnsi="Cambria" w:cs="Cambria"/>
          <w:color w:val="000000"/>
          <w:sz w:val="21"/>
          <w:szCs w:val="21"/>
          <w:vertAlign w:val="superscript"/>
        </w:rPr>
        <w:footnoteReference w:id="94"/>
      </w:r>
      <w:r w:rsidRPr="005722DF">
        <w:rPr>
          <w:rFonts w:cs="Traditional Arabic"/>
          <w:szCs w:val="36"/>
        </w:rPr>
        <w:t xml:space="preserve"> In the sentence whoever waives (the right of retribution), it (becomes) an atonement for his sin.</w:t>
      </w:r>
    </w:p>
    <w:p w14:paraId="7F5F2005" w14:textId="1842DB7A" w:rsidR="005722DF" w:rsidRDefault="005722DF" w:rsidP="0044734A">
      <w:pPr>
        <w:spacing w:line="360" w:lineRule="auto"/>
        <w:ind w:firstLine="567"/>
        <w:jc w:val="both"/>
        <w:rPr>
          <w:rFonts w:cs="Traditional Arabic"/>
          <w:szCs w:val="36"/>
        </w:rPr>
      </w:pPr>
      <w:r w:rsidRPr="005722DF">
        <w:rPr>
          <w:rFonts w:cs="Traditional Arabic"/>
          <w:szCs w:val="36"/>
        </w:rPr>
        <w:t>In this case Reynolds' juxtaposition is not entirely correct, as there is no mention of post-reconciliation indemnity in the Torah. Verse 45 is closely related to verse 44 which indirectly hints at the biblical tradition preserved by Jewish rabbis - as mentioned in the last discussion. Therefore, it can be said that the law of ransom written in the Misnah is implicitly alluded to by the Qur'an.</w:t>
      </w:r>
    </w:p>
    <w:p w14:paraId="5F7EDBE1" w14:textId="05AAFFF6" w:rsidR="005722DF" w:rsidRDefault="005722DF" w:rsidP="0044734A">
      <w:pPr>
        <w:spacing w:line="360" w:lineRule="auto"/>
        <w:ind w:firstLine="567"/>
        <w:jc w:val="both"/>
        <w:rPr>
          <w:rFonts w:cs="Traditional Arabic"/>
          <w:szCs w:val="36"/>
        </w:rPr>
      </w:pPr>
      <w:r w:rsidRPr="005722DF">
        <w:rPr>
          <w:rFonts w:cs="Traditional Arabic"/>
          <w:szCs w:val="36"/>
        </w:rPr>
        <w:t xml:space="preserve">With regard to the revelation on which the qiṣāṣ against the people of Urainah was based. The hadith-reports of the execution of the </w:t>
      </w:r>
      <w:r w:rsidRPr="005722DF">
        <w:rPr>
          <w:rFonts w:cs="Traditional Arabic"/>
          <w:szCs w:val="36"/>
        </w:rPr>
        <w:t>Urainahs have not received much attention from orientalists, so the author focuses more on the opinions of the scholars of interpretation. Some interpretations that use Qs. al-Maidah: 45 and Qs. al-Nahl: 126 as evidence for the Prophet's imposition of qiṣāṣ punishment on the people of Urainah, this opinion does not have a strong historical-chronological basis. Qs. Al-Maidah: 45, although narratively it seems to be suitable as an argument for the application of qiṣāṣ, chronologically there is no evidence that the verse was revealed before Qs. al-Maidah: 32 or even Qs. al-Baqarah: 178. Similarly, in Qs. al-Nahl: 126, the context in which this verse was revealed is not related to qiṣāṣ. Therefore, the author still puts Qs. al-Baqarah: 178-179 as the verse under consideration.</w:t>
      </w:r>
    </w:p>
    <w:p w14:paraId="2E28C0FE" w14:textId="77ACF0E9" w:rsidR="005722DF" w:rsidRDefault="005722DF" w:rsidP="0044734A">
      <w:pPr>
        <w:spacing w:line="360" w:lineRule="auto"/>
        <w:ind w:firstLine="567"/>
        <w:jc w:val="both"/>
        <w:rPr>
          <w:rFonts w:cs="Traditional Arabic"/>
          <w:szCs w:val="36"/>
        </w:rPr>
      </w:pPr>
      <w:r w:rsidRPr="005722DF">
        <w:rPr>
          <w:rFonts w:cs="Traditional Arabic"/>
          <w:szCs w:val="36"/>
        </w:rPr>
        <w:t xml:space="preserve">Qs. Al-Maidah: 33 is more accurately said to correlate with Qs. al-Baqarah: 178-179 in its relationship as a verse that comments on the tradition and abrogates the qiṣāṣ ruling in the previous book. This is supported by the revelation of Qs. al-Isra': 33 before the ruling of qiṣāṣ in QS. al-Baqarah: 178, Ibn </w:t>
      </w:r>
      <w:r w:rsidRPr="005722DF">
        <w:rPr>
          <w:rFonts w:cs="Traditional Arabic"/>
          <w:szCs w:val="36"/>
        </w:rPr>
        <w:lastRenderedPageBreak/>
        <w:t>‘Ashur</w:t>
      </w:r>
      <w:r w:rsidR="00A01FCA">
        <w:rPr>
          <w:rFonts w:ascii="Cambria" w:eastAsia="Cambria" w:hAnsi="Cambria" w:cs="Cambria"/>
          <w:color w:val="000000"/>
          <w:sz w:val="21"/>
          <w:szCs w:val="21"/>
          <w:vertAlign w:val="superscript"/>
        </w:rPr>
        <w:footnoteReference w:id="95"/>
      </w:r>
      <w:r w:rsidRPr="005722DF">
        <w:rPr>
          <w:rFonts w:cs="Traditional Arabic"/>
          <w:szCs w:val="36"/>
        </w:rPr>
        <w:t xml:space="preserve"> has mentioned the context of the Jahiliyya Arab tradition of qiṣāṣ as the setting for the revelation of the verse. He further states that Qs. al-Isra': 33 is a sign of the formal enactment of qiṣāṣ in Islam.</w:t>
      </w:r>
      <w:r w:rsidR="00A01FCA">
        <w:rPr>
          <w:rFonts w:ascii="Cambria" w:eastAsia="Cambria" w:hAnsi="Cambria" w:cs="Cambria"/>
          <w:color w:val="000000"/>
          <w:sz w:val="21"/>
          <w:szCs w:val="21"/>
          <w:vertAlign w:val="superscript"/>
        </w:rPr>
        <w:footnoteReference w:id="96"/>
      </w:r>
      <w:r w:rsidRPr="005722DF">
        <w:rPr>
          <w:rFonts w:cs="Traditional Arabic"/>
          <w:szCs w:val="36"/>
        </w:rPr>
        <w:t xml:space="preserve"> al-'Arabiy's disagreement in establishing the Jahiliyyah tradition as a mansukh law, does not necessarily negate the setting as a macro sabab al-nuzūl.</w:t>
      </w:r>
    </w:p>
    <w:p w14:paraId="46CD7992" w14:textId="6FBB9EA0" w:rsidR="005722DF" w:rsidRDefault="005722DF" w:rsidP="0044734A">
      <w:pPr>
        <w:spacing w:line="360" w:lineRule="auto"/>
        <w:ind w:firstLine="567"/>
        <w:jc w:val="both"/>
        <w:rPr>
          <w:rFonts w:cs="Traditional Arabic"/>
          <w:szCs w:val="36"/>
        </w:rPr>
      </w:pPr>
      <w:r w:rsidRPr="005722DF">
        <w:rPr>
          <w:rFonts w:cs="Traditional Arabic"/>
          <w:szCs w:val="36"/>
        </w:rPr>
        <w:t>The last interpretation problem is about the meaning of equality in Qs. Al-Maidah: 32</w:t>
      </w:r>
    </w:p>
    <w:p w14:paraId="5341E909" w14:textId="7623075E" w:rsidR="005722DF" w:rsidRDefault="005722DF" w:rsidP="005722DF">
      <w:pPr>
        <w:ind w:left="567"/>
        <w:jc w:val="both"/>
        <w:rPr>
          <w:rFonts w:cs="Traditional Arabic"/>
          <w:szCs w:val="36"/>
        </w:rPr>
      </w:pPr>
      <w:r w:rsidRPr="005722DF">
        <w:rPr>
          <w:rFonts w:cs="Traditional Arabic"/>
          <w:szCs w:val="36"/>
        </w:rPr>
        <w:t>‘that whoever kills a person not because he has killed another or because he has caused mischief on earth, it is as if he has killed all human beings. On the other hand, whoever preserves the life of one human being, it is as if he has preserved the life of all human beings.’</w:t>
      </w:r>
    </w:p>
    <w:p w14:paraId="1A2BFAC7" w14:textId="77777777" w:rsidR="000A2F54" w:rsidRDefault="000A2F54" w:rsidP="000A2F54">
      <w:pPr>
        <w:spacing w:line="360" w:lineRule="auto"/>
        <w:jc w:val="both"/>
        <w:rPr>
          <w:rFonts w:cs="Traditional Arabic"/>
          <w:szCs w:val="36"/>
        </w:rPr>
      </w:pPr>
      <w:r w:rsidRPr="000A2F54">
        <w:rPr>
          <w:rFonts w:cs="Traditional Arabic"/>
          <w:szCs w:val="36"/>
        </w:rPr>
        <w:t xml:space="preserve">Scholars in general tend to understand it as the horror of murder, the grave sin of murder, the severe punishment of murder and some scholars point out the social side of murder. Cuypers, Witztum, and Reynolds are unanimous in saying that such equations are not written in </w:t>
      </w:r>
      <w:r w:rsidRPr="000A2F54">
        <w:rPr>
          <w:rFonts w:cs="Traditional Arabic"/>
          <w:szCs w:val="36"/>
        </w:rPr>
        <w:t xml:space="preserve">the Bible, but were written by Jewish rabbis in the Misnah in the 2nd century C.E. </w:t>
      </w:r>
    </w:p>
    <w:p w14:paraId="244075E4" w14:textId="77777777" w:rsidR="000A2F54" w:rsidRPr="000A2F54" w:rsidRDefault="000A2F54" w:rsidP="000A2F54">
      <w:pPr>
        <w:pBdr>
          <w:top w:val="nil"/>
          <w:left w:val="nil"/>
          <w:bottom w:val="nil"/>
          <w:right w:val="nil"/>
          <w:between w:val="nil"/>
        </w:pBdr>
        <w:spacing w:after="80"/>
        <w:ind w:left="720"/>
        <w:jc w:val="both"/>
        <w:rPr>
          <w:rFonts w:ascii="Cambria" w:eastAsia="Cambria" w:hAnsi="Cambria" w:cs="Cambria"/>
          <w:iCs/>
          <w:color w:val="000000"/>
        </w:rPr>
      </w:pPr>
      <w:r w:rsidRPr="000A2F54">
        <w:rPr>
          <w:rFonts w:ascii="Cambria" w:eastAsia="Cambria" w:hAnsi="Cambria" w:cs="Cambria"/>
          <w:iCs/>
          <w:color w:val="000000"/>
        </w:rPr>
        <w:t>For so have we found it with Cain that slew his brother, for it is written. The bloods of thy brother cry.</w:t>
      </w:r>
      <w:r w:rsidRPr="000A2F54">
        <w:rPr>
          <w:rFonts w:ascii="Cambria" w:eastAsia="Cambria" w:hAnsi="Cambria" w:cs="Cambria"/>
          <w:iCs/>
          <w:color w:val="000000"/>
          <w:vertAlign w:val="superscript"/>
        </w:rPr>
        <w:footnoteReference w:id="97"/>
      </w:r>
      <w:r w:rsidRPr="000A2F54">
        <w:rPr>
          <w:rFonts w:ascii="Cambria" w:eastAsia="Cambria" w:hAnsi="Cambria" w:cs="Cambria"/>
          <w:iCs/>
          <w:color w:val="000000"/>
        </w:rPr>
        <w:t xml:space="preserve"> It says not 'The blood of thy brother', but The bloods of thy brother—his blood and the blood of his posterity. Another explanation: Bloods of your brother - because his blood was cast over the trees and stones. Therefore [ </w:t>
      </w:r>
      <w:r w:rsidRPr="000A2F54">
        <w:rPr>
          <w:iCs/>
          <w:color w:val="000000"/>
          <w:rtl/>
        </w:rPr>
        <w:t>לפיכך</w:t>
      </w:r>
      <w:r w:rsidRPr="000A2F54">
        <w:rPr>
          <w:rFonts w:ascii="Cambria" w:eastAsia="Cambria" w:hAnsi="Cambria" w:cs="Cambria"/>
          <w:iCs/>
          <w:color w:val="000000"/>
        </w:rPr>
        <w:t xml:space="preserve"> ] but a single man was created in the world, to teach that whosoever destroys a single soul is regarded as though he destroyed a complete world, and whosoever saves a single soul is regarded as though he saved a complete world; and for the sake of peace among mankind, that none should say to his fellow: ‘My father was greater than yours’, </w:t>
      </w:r>
      <w:r w:rsidRPr="000A2F54">
        <w:rPr>
          <w:rFonts w:ascii="Cambria" w:eastAsia="Cambria" w:hAnsi="Cambria" w:cs="Cambria"/>
          <w:iCs/>
          <w:color w:val="000000"/>
          <w:vertAlign w:val="superscript"/>
        </w:rPr>
        <w:footnoteReference w:id="98"/>
      </w:r>
      <w:r w:rsidRPr="000A2F54">
        <w:rPr>
          <w:rFonts w:ascii="Cambria" w:eastAsia="Cambria" w:hAnsi="Cambria" w:cs="Cambria"/>
          <w:iCs/>
          <w:color w:val="000000"/>
        </w:rPr>
        <w:t xml:space="preserve"> </w:t>
      </w:r>
    </w:p>
    <w:p w14:paraId="1163E48A" w14:textId="27ABA424" w:rsidR="000A2F54" w:rsidRDefault="000A2F54" w:rsidP="000A2F54">
      <w:pPr>
        <w:spacing w:line="360" w:lineRule="auto"/>
        <w:ind w:firstLine="567"/>
        <w:jc w:val="both"/>
        <w:rPr>
          <w:rFonts w:cs="Traditional Arabic"/>
          <w:szCs w:val="36"/>
        </w:rPr>
      </w:pPr>
      <w:r w:rsidRPr="000A2F54">
        <w:rPr>
          <w:rFonts w:cs="Traditional Arabic"/>
          <w:szCs w:val="36"/>
        </w:rPr>
        <w:t xml:space="preserve">As Cuypers has explained, verse 32 is the cohesive centre of the verses before and after it. In more detail, he mentions that verses 27-31 narrate Qabil's crimes, verse 32 prohibits killing, and 32-40 describe </w:t>
      </w:r>
      <w:r w:rsidRPr="000A2F54">
        <w:rPr>
          <w:rFonts w:cs="Traditional Arabic"/>
          <w:szCs w:val="36"/>
        </w:rPr>
        <w:lastRenderedPageBreak/>
        <w:t>actions that are classified as crimes and their punishments.</w:t>
      </w:r>
      <w:r w:rsidR="00A01FCA">
        <w:rPr>
          <w:rFonts w:ascii="Cambria" w:eastAsia="Cambria" w:hAnsi="Cambria" w:cs="Cambria"/>
          <w:color w:val="000000"/>
          <w:sz w:val="21"/>
          <w:szCs w:val="21"/>
          <w:vertAlign w:val="superscript"/>
        </w:rPr>
        <w:footnoteReference w:id="99"/>
      </w:r>
      <w:r w:rsidRPr="000A2F54">
        <w:rPr>
          <w:rFonts w:cs="Traditional Arabic"/>
          <w:szCs w:val="36"/>
        </w:rPr>
        <w:t xml:space="preserve">  Verse 32 is central to a larger topic that encompasses the entire verse. </w:t>
      </w:r>
    </w:p>
    <w:p w14:paraId="5C2E7023" w14:textId="77777777" w:rsidR="000A2F54" w:rsidRPr="000A2F54" w:rsidRDefault="000A2F54" w:rsidP="000A2F54">
      <w:pPr>
        <w:spacing w:line="360" w:lineRule="auto"/>
        <w:ind w:firstLine="567"/>
        <w:jc w:val="both"/>
        <w:rPr>
          <w:rFonts w:cs="Traditional Arabic"/>
          <w:szCs w:val="36"/>
        </w:rPr>
      </w:pPr>
      <w:r w:rsidRPr="000A2F54">
        <w:rPr>
          <w:rFonts w:cs="Traditional Arabic"/>
          <w:szCs w:val="36"/>
        </w:rPr>
        <w:t xml:space="preserve">Witztum sees the alignment of the Qur'an with Misnah from the point where Misnah quotes Genesis 4:12 which recounts the wickedness of Cain (Qabil), then interprets the meaning of the words blood of your brother to mean the blood of your brother and his descendants. After that Misnah connects the explanation by saying </w:t>
      </w:r>
    </w:p>
    <w:p w14:paraId="7C90E3C0" w14:textId="77777777" w:rsidR="000A2F54" w:rsidRPr="000A2F54" w:rsidRDefault="000A2F54" w:rsidP="000A2F54">
      <w:pPr>
        <w:ind w:left="567"/>
        <w:jc w:val="both"/>
        <w:rPr>
          <w:rFonts w:cs="Traditional Arabic"/>
          <w:szCs w:val="36"/>
        </w:rPr>
      </w:pPr>
      <w:r w:rsidRPr="000A2F54">
        <w:rPr>
          <w:rFonts w:cs="Traditional Arabic"/>
          <w:szCs w:val="36"/>
        </w:rPr>
        <w:t xml:space="preserve">‘Therefore, only one man was created in this world, to teach that whoever destroys one soul is to be regarded as destroying the whole world, and whoever saves one soul is to be regarded as saving the whole world; and for the sake of peace among men’. </w:t>
      </w:r>
    </w:p>
    <w:p w14:paraId="5D7E3250" w14:textId="77777777" w:rsidR="000A2F54" w:rsidRPr="000A2F54" w:rsidRDefault="000A2F54" w:rsidP="000A2F54">
      <w:pPr>
        <w:spacing w:line="360" w:lineRule="auto"/>
        <w:ind w:firstLine="567"/>
        <w:jc w:val="both"/>
        <w:rPr>
          <w:rFonts w:cs="Traditional Arabic"/>
          <w:szCs w:val="36"/>
        </w:rPr>
      </w:pPr>
      <w:r w:rsidRPr="000A2F54">
        <w:rPr>
          <w:rFonts w:cs="Traditional Arabic"/>
          <w:szCs w:val="36"/>
        </w:rPr>
        <w:t>The structure of the Misnah is similar to that of the Qur'an, starting with the story and then the equation. The Qur'an does not explain the meaning of the equation, because intertextually the explanation is already present in the Misnah.</w:t>
      </w:r>
    </w:p>
    <w:p w14:paraId="00ED07AF" w14:textId="7EC4BBFC" w:rsidR="005722DF" w:rsidRDefault="000A2F54" w:rsidP="00A01FCA">
      <w:pPr>
        <w:spacing w:line="360" w:lineRule="auto"/>
        <w:ind w:firstLine="567"/>
        <w:jc w:val="both"/>
        <w:rPr>
          <w:rFonts w:cs="Traditional Arabic"/>
          <w:szCs w:val="36"/>
        </w:rPr>
      </w:pPr>
      <w:r w:rsidRPr="000A2F54">
        <w:rPr>
          <w:rFonts w:cs="Traditional Arabic"/>
          <w:szCs w:val="36"/>
        </w:rPr>
        <w:t xml:space="preserve">The problem of interpretation in determining the meaning of </w:t>
      </w:r>
      <w:r w:rsidRPr="000A2F54">
        <w:rPr>
          <w:rFonts w:cs="Traditional Arabic"/>
          <w:szCs w:val="36"/>
        </w:rPr>
        <w:t xml:space="preserve">equality in Qs. al-Maidah: 32 can be reformulated. The killing of one person (Habil) not only eliminates the life of one person, but also eliminates the potential life (offspring) that will be born after him. Thus, when the victim is killed is someone who has dependents to support the family, then with his death the fate of family members will be threatened economically. </w:t>
      </w:r>
    </w:p>
    <w:p w14:paraId="776A4952" w14:textId="70572DBB" w:rsidR="00B128C5" w:rsidRPr="006B10FA" w:rsidRDefault="006B10FA" w:rsidP="006B10FA">
      <w:pPr>
        <w:pStyle w:val="Judul1"/>
        <w:rPr>
          <w:rFonts w:asciiTheme="majorBidi" w:hAnsiTheme="majorBidi"/>
          <w:b/>
          <w:color w:val="auto"/>
          <w:sz w:val="24"/>
          <w:szCs w:val="24"/>
          <w:lang w:val="id-ID"/>
        </w:rPr>
      </w:pPr>
      <w:r w:rsidRPr="006B10FA">
        <w:rPr>
          <w:rFonts w:asciiTheme="majorBidi" w:hAnsiTheme="majorBidi"/>
          <w:b/>
          <w:color w:val="auto"/>
          <w:sz w:val="24"/>
          <w:szCs w:val="24"/>
          <w:lang w:val="id-ID"/>
        </w:rPr>
        <w:t>Conclusion</w:t>
      </w:r>
    </w:p>
    <w:p w14:paraId="3D442166" w14:textId="68B69978" w:rsidR="00540927" w:rsidRDefault="006B10FA" w:rsidP="00734493">
      <w:pPr>
        <w:spacing w:line="360" w:lineRule="auto"/>
        <w:jc w:val="both"/>
        <w:rPr>
          <w:bCs/>
          <w:lang w:val="id-ID"/>
        </w:rPr>
      </w:pPr>
      <w:r w:rsidRPr="006B10FA">
        <w:rPr>
          <w:bCs/>
          <w:lang w:val="id-ID"/>
        </w:rPr>
        <w:t xml:space="preserve">The application of </w:t>
      </w:r>
      <w:r w:rsidRPr="008A67EB">
        <w:rPr>
          <w:bCs/>
          <w:i/>
          <w:iCs/>
          <w:lang w:val="id-ID"/>
        </w:rPr>
        <w:t>‘ulūm al-Qur'ān</w:t>
      </w:r>
      <w:r w:rsidRPr="006B10FA">
        <w:rPr>
          <w:bCs/>
          <w:lang w:val="id-ID"/>
        </w:rPr>
        <w:t xml:space="preserve"> in intertextual reading has significance to the meaning, as evidenced by Qs. Al-Maidah: 32-33 which has a dual function. Not only does it parallel with Misnah Sinhedrin and Leviticus [24]: 17-21 in its function as a satire on the Jews, but this verse also occupies its position as an affirmator of the </w:t>
      </w:r>
      <w:r w:rsidRPr="008A67EB">
        <w:rPr>
          <w:bCs/>
          <w:i/>
          <w:iCs/>
          <w:lang w:val="id-ID"/>
        </w:rPr>
        <w:t>qiṣāṣ</w:t>
      </w:r>
      <w:r w:rsidRPr="006B10FA">
        <w:rPr>
          <w:bCs/>
          <w:lang w:val="id-ID"/>
        </w:rPr>
        <w:t xml:space="preserve"> law contained in the Bible and a corrector of what the Jews have neglected. As an elaborative function, the intertextual reading of Qs. Al-Maidah: 32 on the equality of murder shows that the meaning of equality is related to the socio-economic impact of the victim. This interpretation can enrich the </w:t>
      </w:r>
      <w:r w:rsidRPr="006B10FA">
        <w:rPr>
          <w:bCs/>
          <w:lang w:val="id-ID"/>
        </w:rPr>
        <w:lastRenderedPageBreak/>
        <w:t>treasures of tafsir that have not previously been revealed in the books of interpretation of Muslim scholars. The intertextual reading in this study has not expanded the object of study to other verses. It is hoped that future studies can complete the sampling and offer a balanced and elaborative interpretation.</w:t>
      </w:r>
    </w:p>
    <w:p w14:paraId="1EB6FA65" w14:textId="77777777" w:rsidR="00A01FCA" w:rsidRDefault="00A01FCA" w:rsidP="00734493">
      <w:pPr>
        <w:spacing w:line="360" w:lineRule="auto"/>
        <w:jc w:val="both"/>
        <w:rPr>
          <w:rFonts w:cs="Traditional Arabic"/>
          <w:szCs w:val="36"/>
          <w:lang w:val="id-ID"/>
        </w:rPr>
      </w:pPr>
    </w:p>
    <w:p w14:paraId="4BA13EAF" w14:textId="5B583F07" w:rsidR="00540927" w:rsidRPr="00A01FCA" w:rsidRDefault="006B10FA" w:rsidP="00A01FCA">
      <w:pPr>
        <w:pStyle w:val="TeksCatatanKaki"/>
        <w:ind w:left="709" w:hanging="709"/>
        <w:jc w:val="center"/>
        <w:outlineLvl w:val="0"/>
        <w:rPr>
          <w:b/>
          <w:sz w:val="24"/>
          <w:lang w:val="id-ID"/>
        </w:rPr>
      </w:pPr>
      <w:r>
        <w:rPr>
          <w:b/>
          <w:sz w:val="24"/>
          <w:lang w:val="id-ID"/>
        </w:rPr>
        <w:t>Bibliography</w:t>
      </w:r>
    </w:p>
    <w:p w14:paraId="147CD69D" w14:textId="63870EFE" w:rsidR="002F07E1" w:rsidRPr="002F07E1" w:rsidRDefault="00A01FCA" w:rsidP="008A67EB">
      <w:pPr>
        <w:widowControl w:val="0"/>
        <w:autoSpaceDE w:val="0"/>
        <w:autoSpaceDN w:val="0"/>
        <w:adjustRightInd w:val="0"/>
        <w:spacing w:before="240"/>
        <w:ind w:left="480" w:hanging="480"/>
        <w:jc w:val="both"/>
        <w:rPr>
          <w:noProof/>
        </w:rPr>
      </w:pPr>
      <w:r>
        <w:rPr>
          <w:lang w:val="id-ID"/>
        </w:rPr>
        <w:fldChar w:fldCharType="begin" w:fldLock="1"/>
      </w:r>
      <w:r>
        <w:rPr>
          <w:lang w:val="id-ID"/>
        </w:rPr>
        <w:instrText xml:space="preserve">ADDIN Mendeley Bibliography CSL_BIBLIOGRAPHY </w:instrText>
      </w:r>
      <w:r>
        <w:rPr>
          <w:lang w:val="id-ID"/>
        </w:rPr>
        <w:fldChar w:fldCharType="separate"/>
      </w:r>
      <w:r w:rsidR="002F07E1" w:rsidRPr="002F07E1">
        <w:rPr>
          <w:noProof/>
        </w:rPr>
        <w:t xml:space="preserve">Affani, Syukron. “DISKURSUS MUNĀSABAH: Problem Tafsīr al-Qur’ān bi ’l-Qur’ān.” </w:t>
      </w:r>
      <w:r w:rsidR="002F07E1" w:rsidRPr="002F07E1">
        <w:rPr>
          <w:i/>
          <w:iCs/>
          <w:noProof/>
        </w:rPr>
        <w:t>Jurnal THEOLOGIA</w:t>
      </w:r>
      <w:r w:rsidR="002F07E1" w:rsidRPr="002F07E1">
        <w:rPr>
          <w:noProof/>
        </w:rPr>
        <w:t xml:space="preserve"> 28, no. 2 (20 Februari 2018): 391–418. https://doi.org/10.21580/teo.2017.28.2.1443.</w:t>
      </w:r>
    </w:p>
    <w:p w14:paraId="1441FD4F"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Aini, Adrika Fitrotul, dan Asep Nahrul Musadad. “Konteks Late Antiquity dan Analisis Struktur Mikro Sebagai Counter atas Skeptisisme Orisinalitas Teks Al-Qurân: Refleksi Atas Pemikiran Angelika Neuwirth.” </w:t>
      </w:r>
      <w:r w:rsidRPr="002F07E1">
        <w:rPr>
          <w:i/>
          <w:iCs/>
          <w:noProof/>
        </w:rPr>
        <w:t>SUHUF</w:t>
      </w:r>
      <w:r w:rsidRPr="002F07E1">
        <w:rPr>
          <w:noProof/>
        </w:rPr>
        <w:t xml:space="preserve"> 10, no. 1 (8 September 2017): 173–92. https://doi.org/10.22548/shf.v10i1.249.</w:t>
      </w:r>
    </w:p>
    <w:p w14:paraId="429F82FC"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Al-’Arabi, Abu Bakr Ibn. </w:t>
      </w:r>
      <w:r w:rsidRPr="002F07E1">
        <w:rPr>
          <w:i/>
          <w:iCs/>
          <w:noProof/>
        </w:rPr>
        <w:t>Al-Nasikh wa Al-Mansukh fii Al-Qur’an Al-Karim</w:t>
      </w:r>
      <w:r w:rsidRPr="002F07E1">
        <w:rPr>
          <w:noProof/>
        </w:rPr>
        <w:t>. Diedit oleh Al-Syeikh Zakariyya ’Umayrat. 5 ed. Lebanon: Dar al-Kotob al-Ilmiyah, 2014.</w:t>
      </w:r>
    </w:p>
    <w:p w14:paraId="7C70DBBA"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Al-Baghawi, Abu Muhammad Al-</w:t>
      </w:r>
      <w:r w:rsidRPr="002F07E1">
        <w:rPr>
          <w:noProof/>
        </w:rPr>
        <w:t xml:space="preserve">Husain. </w:t>
      </w:r>
      <w:r w:rsidRPr="002F07E1">
        <w:rPr>
          <w:i/>
          <w:iCs/>
          <w:noProof/>
        </w:rPr>
        <w:t>Tafsir Al-Baghawi</w:t>
      </w:r>
      <w:r w:rsidRPr="002F07E1">
        <w:rPr>
          <w:noProof/>
        </w:rPr>
        <w:t>. Beirut: Dar Ihya’ al-Turas al-’Araby, 1999.</w:t>
      </w:r>
    </w:p>
    <w:p w14:paraId="10AA7B24"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Al-Biqa’i, Ibrahim bin ’Umar. </w:t>
      </w:r>
      <w:r w:rsidRPr="002F07E1">
        <w:rPr>
          <w:i/>
          <w:iCs/>
          <w:noProof/>
        </w:rPr>
        <w:t>Nazm Al-Durar fi Tanasub Al-Ayat wa Al-Suwar, Jilid 2</w:t>
      </w:r>
      <w:r w:rsidRPr="002F07E1">
        <w:rPr>
          <w:noProof/>
        </w:rPr>
        <w:t>. Beirut: Dar Al-Kutub Al-Il’miyyah, 1995.</w:t>
      </w:r>
    </w:p>
    <w:p w14:paraId="7742BE42"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Al-Qazwiniy, Muhammad bin Yazid. </w:t>
      </w:r>
      <w:r w:rsidRPr="002F07E1">
        <w:rPr>
          <w:i/>
          <w:iCs/>
          <w:noProof/>
        </w:rPr>
        <w:t>Sunan Ibn Majah</w:t>
      </w:r>
      <w:r w:rsidRPr="002F07E1">
        <w:rPr>
          <w:noProof/>
        </w:rPr>
        <w:t>. Beirut: Dar Al-Fikr, n.d.</w:t>
      </w:r>
    </w:p>
    <w:p w14:paraId="5689F44B"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Al-Qurtubiy, Muhammad bin Ahmad. </w:t>
      </w:r>
      <w:r w:rsidRPr="002F07E1">
        <w:rPr>
          <w:i/>
          <w:iCs/>
          <w:noProof/>
        </w:rPr>
        <w:t>Al-Jami’ li Ahkam Al-Qur’an, Jil. 4</w:t>
      </w:r>
      <w:r w:rsidRPr="002F07E1">
        <w:rPr>
          <w:noProof/>
        </w:rPr>
        <w:t>. Kairo: Dar Al-Kutub Al-Misriyyah, 1964.</w:t>
      </w:r>
    </w:p>
    <w:p w14:paraId="056DC714"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Al-Razi, Fakhruddin. </w:t>
      </w:r>
      <w:r w:rsidRPr="002F07E1">
        <w:rPr>
          <w:i/>
          <w:iCs/>
          <w:noProof/>
        </w:rPr>
        <w:t>Mafatih al-Ghaib</w:t>
      </w:r>
      <w:r w:rsidRPr="002F07E1">
        <w:rPr>
          <w:noProof/>
        </w:rPr>
        <w:t>. Cet. III. Beirut: Dar Ihya’ al-Turas al-’Araby, 2000.</w:t>
      </w:r>
    </w:p>
    <w:p w14:paraId="5F7AF7F8"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Al-Shabuni, Muhammad ’Ali. “Rawai’ Al-Bayan fii Tafsir Al-Ayat Al-Ahkam.” In </w:t>
      </w:r>
      <w:r w:rsidRPr="002F07E1">
        <w:rPr>
          <w:i/>
          <w:iCs/>
          <w:noProof/>
        </w:rPr>
        <w:t>1</w:t>
      </w:r>
      <w:r w:rsidRPr="002F07E1">
        <w:rPr>
          <w:noProof/>
        </w:rPr>
        <w:t>, 590. Beirut: Al-Maktabah Al-’Ishriyyah, 2017.</w:t>
      </w:r>
    </w:p>
    <w:p w14:paraId="0B87DDA8"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Al-Sya’rawiy, Muhammad Mutawalliy. </w:t>
      </w:r>
      <w:r w:rsidRPr="002F07E1">
        <w:rPr>
          <w:i/>
          <w:iCs/>
          <w:noProof/>
        </w:rPr>
        <w:t>Tafsir Al-Sya’rawiy</w:t>
      </w:r>
      <w:r w:rsidRPr="002F07E1">
        <w:rPr>
          <w:noProof/>
        </w:rPr>
        <w:t>. Mesir: Matabi’ Akhbar Al-Yawm, 1997.</w:t>
      </w:r>
    </w:p>
    <w:p w14:paraId="764F3378"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Al-Ṭabari, Muhammad bin Jarir. </w:t>
      </w:r>
      <w:r w:rsidRPr="002F07E1">
        <w:rPr>
          <w:i/>
          <w:iCs/>
          <w:noProof/>
        </w:rPr>
        <w:t>Jami’ Al-Bayan fi Ta’wil Al-Qur’an, Jil. 3</w:t>
      </w:r>
      <w:r w:rsidRPr="002F07E1">
        <w:rPr>
          <w:noProof/>
        </w:rPr>
        <w:t xml:space="preserve">. </w:t>
      </w:r>
      <w:r w:rsidRPr="002F07E1">
        <w:rPr>
          <w:i/>
          <w:iCs/>
          <w:noProof/>
        </w:rPr>
        <w:t>Al-Maktabah Al-Syāmilah</w:t>
      </w:r>
      <w:r w:rsidRPr="002F07E1">
        <w:rPr>
          <w:noProof/>
        </w:rPr>
        <w:t>. Beirut: Mu’assasah Al-Risalah, 2000.</w:t>
      </w:r>
    </w:p>
    <w:p w14:paraId="577680B2"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Al-Żahabi, Muḥammad Husayn. </w:t>
      </w:r>
      <w:r w:rsidRPr="002F07E1">
        <w:rPr>
          <w:i/>
          <w:iCs/>
          <w:noProof/>
        </w:rPr>
        <w:t>Al-Tafsīr wa Al-Mufassirūn</w:t>
      </w:r>
      <w:r w:rsidRPr="002F07E1">
        <w:rPr>
          <w:noProof/>
        </w:rPr>
        <w:t>. 1 ed. Vol. 1. Kairo: Maktabah Wahbah, 2014.</w:t>
      </w:r>
    </w:p>
    <w:p w14:paraId="78342179"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Angelika, NEUWIRTH. “Locating the Qur’an in the epistemic space of late antiquity.” </w:t>
      </w:r>
      <w:r w:rsidRPr="002F07E1">
        <w:rPr>
          <w:i/>
          <w:iCs/>
          <w:noProof/>
        </w:rPr>
        <w:t xml:space="preserve">Ankara </w:t>
      </w:r>
      <w:r w:rsidRPr="002F07E1">
        <w:rPr>
          <w:i/>
          <w:iCs/>
          <w:noProof/>
        </w:rPr>
        <w:lastRenderedPageBreak/>
        <w:t>Üniversitesi İlahiyat Fakültesi Dergisi</w:t>
      </w:r>
      <w:r w:rsidRPr="002F07E1">
        <w:rPr>
          <w:noProof/>
        </w:rPr>
        <w:t xml:space="preserve"> 54, no. 2 (2013): 189–203. https://doi.org/10.1501/Ilhfak_0000001396.</w:t>
      </w:r>
    </w:p>
    <w:p w14:paraId="02F525FB"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Asnawi, Aqdi Rofiq, Husein Aziz, dan Achmad Murtafi Haris. “Investigating Cohesiveness of QS. Al-Mā’idah: A Review on Michel Cuypers Implementation of Semitic Rhetorical Analysis (SRA).” </w:t>
      </w:r>
      <w:r w:rsidRPr="002F07E1">
        <w:rPr>
          <w:i/>
          <w:iCs/>
          <w:noProof/>
        </w:rPr>
        <w:t>Jurnal Studi Ilmu-ilmu al-Qur’an dan Hadis</w:t>
      </w:r>
      <w:r w:rsidRPr="002F07E1">
        <w:rPr>
          <w:noProof/>
        </w:rPr>
        <w:t xml:space="preserve"> 23, no. 1 (2022). https://doi.org/10.14421/qh.2022.2301-03.</w:t>
      </w:r>
    </w:p>
    <w:p w14:paraId="11BECDF3"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Āsyūr, Muḥammad Al-Ṭāhir. </w:t>
      </w:r>
      <w:r w:rsidRPr="002F07E1">
        <w:rPr>
          <w:i/>
          <w:iCs/>
          <w:noProof/>
        </w:rPr>
        <w:t>Al-Taḥrīr wa Al-Tanwīr</w:t>
      </w:r>
      <w:r w:rsidRPr="002F07E1">
        <w:rPr>
          <w:noProof/>
        </w:rPr>
        <w:t xml:space="preserve">. </w:t>
      </w:r>
      <w:r w:rsidRPr="002F07E1">
        <w:rPr>
          <w:i/>
          <w:iCs/>
          <w:noProof/>
        </w:rPr>
        <w:t>Al-Maktabah Al-Syāmilah</w:t>
      </w:r>
      <w:r w:rsidRPr="002F07E1">
        <w:rPr>
          <w:noProof/>
        </w:rPr>
        <w:t>. Vol. 30. Tunisia: Ad-Dar At-Tunisiah li An-Nasyr, 1984.</w:t>
      </w:r>
    </w:p>
    <w:p w14:paraId="5FEFACDC"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Bik, Muhammad Al-Khudariy. </w:t>
      </w:r>
      <w:r w:rsidRPr="002F07E1">
        <w:rPr>
          <w:i/>
          <w:iCs/>
          <w:noProof/>
        </w:rPr>
        <w:t>Tarikh Al-Tasyri’ Al-Islamiy</w:t>
      </w:r>
      <w:r w:rsidRPr="002F07E1">
        <w:rPr>
          <w:noProof/>
        </w:rPr>
        <w:t>. Beirut: Dar Al-Kutub Al-Il’miyyah, 2013.</w:t>
      </w:r>
    </w:p>
    <w:p w14:paraId="08C74CA4"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Cuypers, Michel. </w:t>
      </w:r>
      <w:r w:rsidRPr="002F07E1">
        <w:rPr>
          <w:i/>
          <w:iCs/>
          <w:noProof/>
        </w:rPr>
        <w:t>Fi Nazm Surah Al-Maidah, Terj ’Amr ’Abd Al-’Ati Salih</w:t>
      </w:r>
      <w:r w:rsidRPr="002F07E1">
        <w:rPr>
          <w:noProof/>
        </w:rPr>
        <w:t>. Kairo: Dar Al-Masyriq, 2014.</w:t>
      </w:r>
    </w:p>
    <w:p w14:paraId="60D3E573"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Darwazah, Muhammad ’Izzah. </w:t>
      </w:r>
      <w:r w:rsidRPr="002F07E1">
        <w:rPr>
          <w:i/>
          <w:iCs/>
          <w:noProof/>
        </w:rPr>
        <w:t>Al-Tafsir Al-Hadits</w:t>
      </w:r>
      <w:r w:rsidRPr="002F07E1">
        <w:rPr>
          <w:noProof/>
        </w:rPr>
        <w:t xml:space="preserve">. </w:t>
      </w:r>
      <w:r w:rsidRPr="002F07E1">
        <w:rPr>
          <w:i/>
          <w:iCs/>
          <w:noProof/>
        </w:rPr>
        <w:t>Al-Maktabah Al-Syāmilah</w:t>
      </w:r>
      <w:r w:rsidRPr="002F07E1">
        <w:rPr>
          <w:noProof/>
        </w:rPr>
        <w:t>. Vol. 3. Kairo: Dar Ihya Al-Kutub Al-’Arabiyah, 1971.</w:t>
      </w:r>
    </w:p>
    <w:p w14:paraId="3C165D9F"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Geiger, Abraham. </w:t>
      </w:r>
      <w:r w:rsidRPr="002F07E1">
        <w:rPr>
          <w:i/>
          <w:iCs/>
          <w:noProof/>
        </w:rPr>
        <w:t>Judaism and Islam, translated by Member of the Ladies League</w:t>
      </w:r>
      <w:r w:rsidRPr="002F07E1">
        <w:rPr>
          <w:noProof/>
        </w:rPr>
        <w:t>. New York: Madras, 1898.</w:t>
      </w:r>
    </w:p>
    <w:p w14:paraId="4112655E"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Hijazi, Muhammad Mahmud. </w:t>
      </w:r>
      <w:r w:rsidRPr="002F07E1">
        <w:rPr>
          <w:i/>
          <w:iCs/>
          <w:noProof/>
        </w:rPr>
        <w:t>Al-Waḥdah Al-Mauḍū’iyyah fī Al-</w:t>
      </w:r>
      <w:r w:rsidRPr="002F07E1">
        <w:rPr>
          <w:i/>
          <w:iCs/>
          <w:noProof/>
        </w:rPr>
        <w:t>Qur’ān Al-Karīm</w:t>
      </w:r>
      <w:r w:rsidRPr="002F07E1">
        <w:rPr>
          <w:noProof/>
        </w:rPr>
        <w:t>. Mesir: Dār Al-Kutub Al-Hadīṡah, 1970.</w:t>
      </w:r>
    </w:p>
    <w:p w14:paraId="79C7A15C"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Joseph Benzion Witztum. “The Syriac Milieu of the Quran : The Recasting of Biblical Narratives.” Princeton University, 2011.</w:t>
      </w:r>
    </w:p>
    <w:p w14:paraId="7A863AEF"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LAI, Lembaga Alkitab Indonesia. </w:t>
      </w:r>
      <w:r w:rsidRPr="002F07E1">
        <w:rPr>
          <w:i/>
          <w:iCs/>
          <w:noProof/>
        </w:rPr>
        <w:t>Alkitab Deuterokanonika</w:t>
      </w:r>
      <w:r w:rsidRPr="002F07E1">
        <w:rPr>
          <w:noProof/>
        </w:rPr>
        <w:t>. Lembaga Alkitab Indonesia, 2019. https://www.bible.com/id/bible/306/.</w:t>
      </w:r>
    </w:p>
    <w:p w14:paraId="0A8FCE0D"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LPMQ, Lajnah Pentashih Mushaf Al-Qur’an. “Qur’an Kemenag.” Kementerian Agama RI, 2022. https://quran.kemenag.go.id.</w:t>
      </w:r>
    </w:p>
    <w:p w14:paraId="49E07980"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Mansur, Ali. “Ahli Kitab dalam Al-Qur’an: Model Penafsiran Fazlur Rahman.” In </w:t>
      </w:r>
      <w:r w:rsidRPr="002F07E1">
        <w:rPr>
          <w:i/>
          <w:iCs/>
          <w:noProof/>
        </w:rPr>
        <w:t>Studi Al-Qur’an Kontemporer: Wacana Baru Berbagai Metodologi Tafsir</w:t>
      </w:r>
      <w:r w:rsidRPr="002F07E1">
        <w:rPr>
          <w:noProof/>
        </w:rPr>
        <w:t>, diedit oleh Abdul Mustaqim dan Sahiron Syamsudin, 1 ed. Yogyakarta: PT. Tiara Wacana Yogya, 2002.</w:t>
      </w:r>
    </w:p>
    <w:p w14:paraId="43A206DB"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Miles, Matthew B., A. Michael Huberman, dan Johnny Sardana. </w:t>
      </w:r>
      <w:r w:rsidRPr="002F07E1">
        <w:rPr>
          <w:i/>
          <w:iCs/>
          <w:noProof/>
        </w:rPr>
        <w:t>Qualitative Data Analysis: A Methods Sourcebook</w:t>
      </w:r>
      <w:r w:rsidRPr="002F07E1">
        <w:rPr>
          <w:noProof/>
        </w:rPr>
        <w:t>. 3 ed. Washington: SAGE Publication, 2014.</w:t>
      </w:r>
    </w:p>
    <w:p w14:paraId="39EDD3DB"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Mustaqim, Abdul. </w:t>
      </w:r>
      <w:r w:rsidRPr="002F07E1">
        <w:rPr>
          <w:i/>
          <w:iCs/>
          <w:noProof/>
        </w:rPr>
        <w:t>Pergeseran Epistemologi Tafsir</w:t>
      </w:r>
      <w:r w:rsidRPr="002F07E1">
        <w:rPr>
          <w:noProof/>
        </w:rPr>
        <w:t>. Diedit oleh Saifuddin Zuhri Qudsy. 1 ed. Yogyakarta: Pustaka Pelajar, 2008.</w:t>
      </w:r>
    </w:p>
    <w:p w14:paraId="73E5394B"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Neusner, Jacob. </w:t>
      </w:r>
      <w:r w:rsidRPr="002F07E1">
        <w:rPr>
          <w:i/>
          <w:iCs/>
          <w:noProof/>
        </w:rPr>
        <w:t>The Way of Torah An Introduction to Judaism</w:t>
      </w:r>
      <w:r w:rsidRPr="002F07E1">
        <w:rPr>
          <w:noProof/>
        </w:rPr>
        <w:t xml:space="preserve">. 6 ed. New York: Wadsworth </w:t>
      </w:r>
      <w:r w:rsidRPr="002F07E1">
        <w:rPr>
          <w:noProof/>
        </w:rPr>
        <w:lastRenderedPageBreak/>
        <w:t>Publishing Company, 1997.</w:t>
      </w:r>
    </w:p>
    <w:p w14:paraId="3BD3F00D"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Neuwirth, Angelika. “Early Meccans Suras: Poetic Prophecy.” In </w:t>
      </w:r>
      <w:r w:rsidRPr="002F07E1">
        <w:rPr>
          <w:i/>
          <w:iCs/>
          <w:noProof/>
        </w:rPr>
        <w:t>The Qur’an: Text and Commentary, Volume 1</w:t>
      </w:r>
      <w:r w:rsidRPr="002F07E1">
        <w:rPr>
          <w:noProof/>
        </w:rPr>
        <w:t>. New Haven and London: Yale University Press, 2022. https://doi.org/10.2307/j.ctv2vvsx24.</w:t>
      </w:r>
    </w:p>
    <w:p w14:paraId="4CACFBA9"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 “Orientalism in Oriental Studies? Qur’anic Studies as a Case in Point.” </w:t>
      </w:r>
      <w:r w:rsidRPr="002F07E1">
        <w:rPr>
          <w:i/>
          <w:iCs/>
          <w:noProof/>
        </w:rPr>
        <w:t>Journal of Qur’anic Studies</w:t>
      </w:r>
      <w:r w:rsidRPr="002F07E1">
        <w:rPr>
          <w:noProof/>
        </w:rPr>
        <w:t xml:space="preserve"> 9, no. 2 (Oktober 2007): 115–27. https://doi.org/10.3366/E1465359108000119.</w:t>
      </w:r>
    </w:p>
    <w:p w14:paraId="233F738A"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 </w:t>
      </w:r>
      <w:r w:rsidRPr="002F07E1">
        <w:rPr>
          <w:i/>
          <w:iCs/>
          <w:noProof/>
        </w:rPr>
        <w:t>Scripture, Poetry, and the Making of a Community: Reading the Qur’an as a Literary Text</w:t>
      </w:r>
      <w:r w:rsidRPr="002F07E1">
        <w:rPr>
          <w:noProof/>
        </w:rPr>
        <w:t>. Oxford: Oxford University Press, 2014.</w:t>
      </w:r>
    </w:p>
    <w:p w14:paraId="5440333F"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 </w:t>
      </w:r>
      <w:r w:rsidRPr="002F07E1">
        <w:rPr>
          <w:i/>
          <w:iCs/>
          <w:noProof/>
        </w:rPr>
        <w:t>The Qur’an and Late Antiquity, translated by Samuel Wilder</w:t>
      </w:r>
      <w:r w:rsidRPr="002F07E1">
        <w:rPr>
          <w:noProof/>
        </w:rPr>
        <w:t>. New York: Oxford University Press, 2019. https://doi.org/10.1093/oso/9780199928958.001.0001.</w:t>
      </w:r>
    </w:p>
    <w:p w14:paraId="3DFAE7FB"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 </w:t>
      </w:r>
      <w:r w:rsidRPr="002F07E1">
        <w:rPr>
          <w:i/>
          <w:iCs/>
          <w:noProof/>
        </w:rPr>
        <w:t>The Qur’an and Late Antiquity: A Shared Heritage</w:t>
      </w:r>
      <w:r w:rsidRPr="002F07E1">
        <w:rPr>
          <w:noProof/>
        </w:rPr>
        <w:t>. Oxford University Press, 2019. https://doi.org/10.1093/oso/9780199928958.001.0001.</w:t>
      </w:r>
    </w:p>
    <w:p w14:paraId="5DA257D5"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Nickel, Gordon. </w:t>
      </w:r>
      <w:r w:rsidRPr="002F07E1">
        <w:rPr>
          <w:i/>
          <w:iCs/>
          <w:noProof/>
        </w:rPr>
        <w:t>Narratives of Tampering inthe Earliest Commentaries on the Qur’an</w:t>
      </w:r>
      <w:r w:rsidRPr="002F07E1">
        <w:rPr>
          <w:noProof/>
        </w:rPr>
        <w:t>. Diedit oleh David Thomas, Tarif Khalidi, Gerrit Jan Reinink, dan Mark Swanson. 1 ed. Leiden, Boston: Koninklijke Brill NV, 2011.</w:t>
      </w:r>
    </w:p>
    <w:p w14:paraId="38106371"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Putrawan, Bobby Kurnia, dan Edward Everson Hanock. “Abraham’s Legacy: Togetherness of Christian and Islamic Faith.” </w:t>
      </w:r>
      <w:r w:rsidRPr="002F07E1">
        <w:rPr>
          <w:i/>
          <w:iCs/>
          <w:noProof/>
        </w:rPr>
        <w:t>Jurnal Theologia</w:t>
      </w:r>
      <w:r w:rsidRPr="002F07E1">
        <w:rPr>
          <w:noProof/>
        </w:rPr>
        <w:t xml:space="preserve"> 33, no. 1 (16 Juni 2022): 19–34. https://doi.org/10.21580/teo.2022.33.1.10575.</w:t>
      </w:r>
    </w:p>
    <w:p w14:paraId="67C3B074"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Reynolds, Gabriel Said. “On the Qurʾanic Accusation of Scriptural Falsification (taḥrīf) and Christian Anti-Jewish Polemic.” </w:t>
      </w:r>
      <w:r w:rsidRPr="002F07E1">
        <w:rPr>
          <w:i/>
          <w:iCs/>
          <w:noProof/>
        </w:rPr>
        <w:t>Journal of the American Oriental Society</w:t>
      </w:r>
      <w:r w:rsidRPr="002F07E1">
        <w:rPr>
          <w:noProof/>
        </w:rPr>
        <w:t xml:space="preserve"> 130, no. 2 (11 Juni 2010): 189–202. http://www.jstor.org/stable/23044514.</w:t>
      </w:r>
    </w:p>
    <w:p w14:paraId="59553A24"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 </w:t>
      </w:r>
      <w:r w:rsidRPr="002F07E1">
        <w:rPr>
          <w:i/>
          <w:iCs/>
          <w:noProof/>
        </w:rPr>
        <w:t>The Qur’an and the Bible (Text and Commentary)</w:t>
      </w:r>
      <w:r w:rsidRPr="002F07E1">
        <w:rPr>
          <w:noProof/>
        </w:rPr>
        <w:t>. New Haven: Yale University Press, 2018. https://doi.org/https://doi.org/10.12730/13091719.2019.101.</w:t>
      </w:r>
    </w:p>
    <w:p w14:paraId="35A4556A"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 </w:t>
      </w:r>
      <w:r w:rsidRPr="002F07E1">
        <w:rPr>
          <w:i/>
          <w:iCs/>
          <w:noProof/>
        </w:rPr>
        <w:t>The Qur’an in its Historical Context</w:t>
      </w:r>
      <w:r w:rsidRPr="002F07E1">
        <w:rPr>
          <w:noProof/>
        </w:rPr>
        <w:t>. Diedit oleh Gabriel Reynolds. 1 ed. London: Routledge, 2007. https://doi.org/10.4324/9780203939604.</w:t>
      </w:r>
    </w:p>
    <w:p w14:paraId="7C6D9148"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Ridla, Muhammad Rasyid bin ’Ali. </w:t>
      </w:r>
      <w:r w:rsidRPr="002F07E1">
        <w:rPr>
          <w:i/>
          <w:iCs/>
          <w:noProof/>
        </w:rPr>
        <w:t>Tafsir Al-Qur’an Al-Hakim: Tafsir Al-Mannar</w:t>
      </w:r>
      <w:r w:rsidRPr="002F07E1">
        <w:rPr>
          <w:noProof/>
        </w:rPr>
        <w:t>. Vol. 6. Mesir: al-Hay’ah al-Miṣriyyah al-‘Ammah li al-Kitāb, 1990.</w:t>
      </w:r>
    </w:p>
    <w:p w14:paraId="126B65D4"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Saeed, Abdullah. </w:t>
      </w:r>
      <w:r w:rsidRPr="002F07E1">
        <w:rPr>
          <w:i/>
          <w:iCs/>
          <w:noProof/>
        </w:rPr>
        <w:t>The Quran: An Introduction</w:t>
      </w:r>
      <w:r w:rsidRPr="002F07E1">
        <w:rPr>
          <w:noProof/>
        </w:rPr>
        <w:t>. London &amp; New York: Routledge, 2008.</w:t>
      </w:r>
    </w:p>
    <w:p w14:paraId="3D2E346E"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Saleh, Walid A. “Narratives of Tampering in the Earliest Commentaries on the Qurʾān.” </w:t>
      </w:r>
      <w:r w:rsidRPr="002F07E1">
        <w:rPr>
          <w:i/>
          <w:iCs/>
          <w:noProof/>
        </w:rPr>
        <w:lastRenderedPageBreak/>
        <w:t>Al-Masāq</w:t>
      </w:r>
      <w:r w:rsidRPr="002F07E1">
        <w:rPr>
          <w:noProof/>
        </w:rPr>
        <w:t xml:space="preserve"> 28, no. 1 (2 Januari 2016): 101–4. https://doi.org/10.1080/09503110.2016.1152821.</w:t>
      </w:r>
    </w:p>
    <w:p w14:paraId="309E4591"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“Surat Yunus: Arab, Latin dan Terjemah Lengkap | Quran NU Online.” Diakses 3 Februari 2025. https://quran.nu.or.id/yunus#94.</w:t>
      </w:r>
    </w:p>
    <w:p w14:paraId="42DF8AD7"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Ulummudin. “PEMETAAN PENELITIAN ORIENTALIS TERHADAP HADIS MENURUT HARALD MOTZI.” </w:t>
      </w:r>
      <w:r w:rsidRPr="002F07E1">
        <w:rPr>
          <w:i/>
          <w:iCs/>
          <w:noProof/>
        </w:rPr>
        <w:t xml:space="preserve">Al-Bukhari : Jurnal </w:t>
      </w:r>
      <w:r w:rsidRPr="002F07E1">
        <w:rPr>
          <w:i/>
          <w:iCs/>
          <w:noProof/>
        </w:rPr>
        <w:t>Ilmu Hadis</w:t>
      </w:r>
      <w:r w:rsidRPr="002F07E1">
        <w:rPr>
          <w:noProof/>
        </w:rPr>
        <w:t xml:space="preserve"> 3, no. 1 (11 Juni 2020): 86–104. https://doi.org/10.32505/al-bukhari.v3i1.1468.</w:t>
      </w:r>
    </w:p>
    <w:p w14:paraId="14DE38AB" w14:textId="77777777" w:rsidR="002F07E1" w:rsidRPr="002F07E1" w:rsidRDefault="002F07E1" w:rsidP="008A67EB">
      <w:pPr>
        <w:widowControl w:val="0"/>
        <w:autoSpaceDE w:val="0"/>
        <w:autoSpaceDN w:val="0"/>
        <w:adjustRightInd w:val="0"/>
        <w:spacing w:before="240"/>
        <w:ind w:left="480" w:hanging="480"/>
        <w:jc w:val="both"/>
        <w:rPr>
          <w:noProof/>
        </w:rPr>
      </w:pPr>
      <w:r w:rsidRPr="002F07E1">
        <w:rPr>
          <w:noProof/>
        </w:rPr>
        <w:t xml:space="preserve">Zuhri, Saifuddin. “Memahami Para Orientalis Dalam Mengkaii al-Quran dan Hadis: Perbedaan Memahami dan Mengimani Menurut Alasdair Macintyre.” </w:t>
      </w:r>
      <w:r w:rsidRPr="002F07E1">
        <w:rPr>
          <w:i/>
          <w:iCs/>
          <w:noProof/>
        </w:rPr>
        <w:t>Jurnal Studi Ilmu-ilmu Al-Qur’an dan Hadis</w:t>
      </w:r>
      <w:r w:rsidRPr="002F07E1">
        <w:rPr>
          <w:noProof/>
        </w:rPr>
        <w:t xml:space="preserve"> 18, no. 1 (28 Mei 2018): 105. https://doi.org/10.14421/qh.2017.1801-06.</w:t>
      </w:r>
    </w:p>
    <w:p w14:paraId="03EEA1E2" w14:textId="54B4D503" w:rsidR="00A77C82" w:rsidRDefault="00A01FCA" w:rsidP="008A67EB">
      <w:pPr>
        <w:spacing w:before="240"/>
        <w:jc w:val="both"/>
        <w:rPr>
          <w:lang w:val="id-ID"/>
        </w:rPr>
        <w:sectPr w:rsidR="00A77C82" w:rsidSect="00A77C82">
          <w:type w:val="continuous"/>
          <w:pgSz w:w="11909" w:h="16834" w:code="9"/>
          <w:pgMar w:top="2275" w:right="1699" w:bottom="1699" w:left="2275" w:header="1195" w:footer="907" w:gutter="0"/>
          <w:cols w:num="2" w:space="720"/>
          <w:titlePg/>
          <w:docGrid w:linePitch="360"/>
        </w:sectPr>
      </w:pPr>
      <w:r>
        <w:rPr>
          <w:lang w:val="id-ID"/>
        </w:rPr>
        <w:fldChar w:fldCharType="end"/>
      </w:r>
    </w:p>
    <w:p w14:paraId="74C51A90" w14:textId="77777777" w:rsidR="00540927" w:rsidRPr="008022DB" w:rsidRDefault="00540927" w:rsidP="008A67EB">
      <w:pPr>
        <w:spacing w:before="240"/>
        <w:jc w:val="both"/>
        <w:rPr>
          <w:lang w:val="id-ID"/>
        </w:rPr>
      </w:pPr>
    </w:p>
    <w:p w14:paraId="489900BF" w14:textId="77777777" w:rsidR="00540927" w:rsidRPr="000C24E2" w:rsidRDefault="00540927" w:rsidP="008A67EB">
      <w:pPr>
        <w:spacing w:line="360" w:lineRule="auto"/>
        <w:jc w:val="both"/>
        <w:rPr>
          <w:rFonts w:cs="Traditional Arabic"/>
          <w:szCs w:val="36"/>
          <w:lang w:val="id-ID"/>
        </w:rPr>
      </w:pPr>
    </w:p>
    <w:sectPr w:rsidR="00540927" w:rsidRPr="000C24E2" w:rsidSect="00A77C82">
      <w:type w:val="continuous"/>
      <w:pgSz w:w="11909" w:h="16834" w:code="9"/>
      <w:pgMar w:top="2275" w:right="1699" w:bottom="1699" w:left="2275" w:header="1195"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A196" w14:textId="77777777" w:rsidR="00E8677A" w:rsidRDefault="00E8677A">
      <w:r>
        <w:separator/>
      </w:r>
    </w:p>
  </w:endnote>
  <w:endnote w:type="continuationSeparator" w:id="0">
    <w:p w14:paraId="3AA19868" w14:textId="77777777" w:rsidR="00E8677A" w:rsidRDefault="00E8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Arabic">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88FD" w14:textId="77777777" w:rsidR="00B0785F" w:rsidRDefault="00A04158" w:rsidP="00824CF9">
    <w:pPr>
      <w:pStyle w:val="Footer"/>
      <w:framePr w:wrap="around" w:vAnchor="text" w:hAnchor="margin" w:xAlign="center" w:y="1"/>
      <w:rPr>
        <w:rStyle w:val="NomorHalaman"/>
      </w:rPr>
    </w:pPr>
    <w:r>
      <w:rPr>
        <w:rStyle w:val="NomorHalaman"/>
      </w:rPr>
      <w:fldChar w:fldCharType="begin"/>
    </w:r>
    <w:r w:rsidR="00B0785F">
      <w:rPr>
        <w:rStyle w:val="NomorHalaman"/>
      </w:rPr>
      <w:instrText xml:space="preserve">PAGE  </w:instrText>
    </w:r>
    <w:r>
      <w:rPr>
        <w:rStyle w:val="NomorHalaman"/>
      </w:rPr>
      <w:fldChar w:fldCharType="end"/>
    </w:r>
  </w:p>
  <w:p w14:paraId="0BCA3F02" w14:textId="77777777" w:rsidR="00B0785F" w:rsidRDefault="00B07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F485" w14:textId="77777777" w:rsidR="00B0785F" w:rsidRDefault="00B0785F" w:rsidP="00607040">
    <w:pPr>
      <w:pStyle w:val="Footer"/>
    </w:pPr>
  </w:p>
  <w:p w14:paraId="622A9A76" w14:textId="77777777" w:rsidR="00B0785F" w:rsidRDefault="00B07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8094" w14:textId="77777777" w:rsidR="00B0785F" w:rsidRDefault="007855C9">
    <w:pPr>
      <w:pStyle w:val="Footer"/>
      <w:jc w:val="center"/>
    </w:pPr>
    <w:r>
      <w:fldChar w:fldCharType="begin"/>
    </w:r>
    <w:r>
      <w:instrText xml:space="preserve"> PAGE   \* MERGEFORMAT </w:instrText>
    </w:r>
    <w:r>
      <w:fldChar w:fldCharType="separate"/>
    </w:r>
    <w:r w:rsidR="008D772D">
      <w:rPr>
        <w:noProof/>
      </w:rPr>
      <w:t>1</w:t>
    </w:r>
    <w:r>
      <w:rPr>
        <w:noProof/>
      </w:rPr>
      <w:fldChar w:fldCharType="end"/>
    </w:r>
  </w:p>
  <w:p w14:paraId="4EF89F95" w14:textId="77777777" w:rsidR="00B0785F" w:rsidRDefault="00B07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BC6E" w14:textId="77777777" w:rsidR="00E8677A" w:rsidRDefault="00E8677A">
      <w:r>
        <w:separator/>
      </w:r>
    </w:p>
  </w:footnote>
  <w:footnote w:type="continuationSeparator" w:id="0">
    <w:p w14:paraId="663876FE" w14:textId="77777777" w:rsidR="00E8677A" w:rsidRDefault="00E8677A">
      <w:r>
        <w:continuationSeparator/>
      </w:r>
    </w:p>
  </w:footnote>
  <w:footnote w:id="1">
    <w:p w14:paraId="24B37549" w14:textId="77777777" w:rsidR="00BF4C09" w:rsidRPr="008D6943" w:rsidRDefault="00BF4C09" w:rsidP="00BF4C09">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Pr="008D6943">
        <w:rPr>
          <w:rFonts w:ascii="Cambria" w:hAnsi="Cambria"/>
        </w:rPr>
        <w:instrText>ADDIN CSL_CITATION {"citationItems":[{"id":"ITEM-1","itemData":{"DOI":"10.21580/teo.2022.33.1.10575","ISSN":"2540-847X","abstract":"This article is a study about Abraham, known as the ancestor obtained by Isaac and Ishmael. His offspring are already widespread. With all the inheritance given to them, get Abraham to start life in a different land and with different blessings. Here is the crucial point. The difference seems to have proved the fact that as a result of Abraham coming from fellowship and brotherhood remain intertwined and maintained, because these two things are also Abraham's legacy. Through literature studies, some data about Abraham are described in a narrative manner with the aim of being based on Abraham's inheritance, namely blessings, descent and land implemented correctly and proportionally. What is presented in this review article on two dimensions of inheritance: spiritual and community. Spiritual, from a biblical perspective, speaks of a promise, while the community is more towards the vision of sociology and managerial pluralism","author":[{"dropping-particle":"","family":"Putrawan","given":"Bobby Kurnia","non-dropping-particle":"","parse-names":false,"suffix":""},{"dropping-particle":"","family":"Hanock","given":"Edward Everson","non-dropping-particle":"","parse-names":false,"suffix":""}],"container-title":"Jurnal Theologia","id":"ITEM-1","issue":"1","issued":{"date-parts":[["2022","6","16"]]},"page":"19-34","title":"Abraham's Legacy: Togetherness of Christian and Islamic Faith","type":"article-journal","volume":"33"},"locator":"31-32","uris":["http://www.mendeley.com/documents/?uuid=ec7b442a-ceb4-45af-9fb2-3b44177c87a4"]}],"mendeley":{"formattedCitation":"Bobby Kurnia Putrawan dan Edward Everson Hanock, “Abraham’s Legacy: Togetherness of Christian and Islamic Faith,” &lt;i&gt;Jurnal Theologia&lt;/i&gt; 33, no. 1 (16 Juni 2022): 31–32, https://doi.org/10.21580/teo.2022.33.1.10575.","plainTextFormattedCitation":"Bobby Kurnia Putrawan dan Edward Everson Hanock, “Abraham’s Legacy: Togetherness of Christian and Islamic Faith,” Jurnal Theologia 33, no. 1 (16 Juni 2022): 31–32, https://doi.org/10.21580/teo.2022.33.1.10575.","previouslyFormattedCitation":"Bobby Kurnia Putrawan dan Edward Everson Hanock, “Abraham’s Legacy: Togetherness of Christian and Islamic Faith,” &lt;i&gt;Jurnal Theologia&lt;/i&gt; 33, no. 1 (16 Juni 2022): 31–32, https://doi.org/10.21580/teo.2022.33.1.10575."},"properties":{"noteIndex":1},"schema":"https://github.com/citation-style-language/schema/raw/master/csl-citation.json"}</w:instrText>
      </w:r>
      <w:r w:rsidRPr="008D6943">
        <w:rPr>
          <w:rFonts w:ascii="Cambria" w:hAnsi="Cambria"/>
        </w:rPr>
        <w:fldChar w:fldCharType="separate"/>
      </w:r>
      <w:r w:rsidRPr="008D6943">
        <w:rPr>
          <w:rFonts w:ascii="Cambria" w:hAnsi="Cambria"/>
          <w:noProof/>
        </w:rPr>
        <w:t xml:space="preserve">Bobby Kurnia Putrawan dan Edward Everson Hanock, “Abraham’s Legacy: Togetherness of Christian and Islamic Faith,” </w:t>
      </w:r>
      <w:r w:rsidRPr="008D6943">
        <w:rPr>
          <w:rFonts w:ascii="Cambria" w:hAnsi="Cambria"/>
          <w:i/>
          <w:noProof/>
        </w:rPr>
        <w:t>Jurnal Theologia</w:t>
      </w:r>
      <w:r w:rsidRPr="008D6943">
        <w:rPr>
          <w:rFonts w:ascii="Cambria" w:hAnsi="Cambria"/>
          <w:noProof/>
        </w:rPr>
        <w:t xml:space="preserve"> 33, no. 1 (16 Juni 2022): 31–32, https://doi.org/10.21580/teo.2022.33.1.10575.</w:t>
      </w:r>
      <w:r w:rsidRPr="008D6943">
        <w:rPr>
          <w:rFonts w:ascii="Cambria" w:hAnsi="Cambria"/>
        </w:rPr>
        <w:fldChar w:fldCharType="end"/>
      </w:r>
    </w:p>
  </w:footnote>
  <w:footnote w:id="2">
    <w:p w14:paraId="35F0552B" w14:textId="77777777" w:rsidR="00BF4C09" w:rsidRPr="008D6943" w:rsidRDefault="00BF4C09" w:rsidP="00BF4C09">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Pr="008D6943">
        <w:rPr>
          <w:rFonts w:ascii="Cambria" w:hAnsi="Cambria"/>
        </w:rPr>
        <w:instrText>ADDIN CSL_CITATION {"citationItems":[{"id":"ITEM-1","itemData":{"ISBN":"979-9340-38-1","author":[{"dropping-particle":"","family":"Mansur","given":"Ali","non-dropping-particle":"","parse-names":false,"suffix":""}],"container-title":"Studi Al-Qur'an Kontemporer: Wacana Baru Berbagai Metodologi Tafsir","edition":"1","editor":[{"dropping-particle":"","family":"Mustaqim","given":"Abdul","non-dropping-particle":"","parse-names":false,"suffix":""},{"dropping-particle":"","family":"Syamsudin","given":"Sahiron","non-dropping-particle":"","parse-names":false,"suffix":""}],"id":"ITEM-1","issued":{"date-parts":[["2002"]]},"publisher":"PT. Tiara Wacana Yogya","publisher-place":"Yogyakarta","title":"Ahli Kitab dalam Al-Qur'an: Model Penafsiran Fazlur Rahman","type":"chapter"},"locator":"55","uris":["http://www.mendeley.com/documents/?uuid=1303dbb5-846d-4043-a028-e79c2ec2edde"]}],"mendeley":{"formattedCitation":"Ali Mansur, “Ahli Kitab dalam Al-Qur’an: Model Penafsiran Fazlur Rahman,” in &lt;i&gt;Studi Al-Qur’an Kontemporer: Wacana Baru Berbagai Metodologi Tafsir&lt;/i&gt;, ed. oleh Abdul Mustaqim dan Sahiron Syamsudin, 1 ed. (Yogyakarta: PT. Tiara Wacana Yogya, 2002), 55.","plainTextFormattedCitation":"Ali Mansur, “Ahli Kitab dalam Al-Qur’an: Model Penafsiran Fazlur Rahman,” in Studi Al-Qur’an Kontemporer: Wacana Baru Berbagai Metodologi Tafsir, ed. oleh Abdul Mustaqim dan Sahiron Syamsudin, 1 ed. (Yogyakarta: PT. Tiara Wacana Yogya, 2002), 55.","previouslyFormattedCitation":"Ali Mansur, “Ahli Kitab dalam Al-Qur’an: Model Penafsiran Fazlur Rahman,” in &lt;i&gt;Studi Al-Qur’an Kontemporer: Wacana Baru Berbagai Metodologi Tafsir&lt;/i&gt;, ed. oleh Abdul Mustaqim dan Sahiron Syamsudin, 1 ed. (Yogyakarta: PT. Tiara Wacana Yogya, 2002), 55."},"properties":{"noteIndex":2},"schema":"https://github.com/citation-style-language/schema/raw/master/csl-citation.json"}</w:instrText>
      </w:r>
      <w:r w:rsidRPr="008D6943">
        <w:rPr>
          <w:rFonts w:ascii="Cambria" w:hAnsi="Cambria"/>
        </w:rPr>
        <w:fldChar w:fldCharType="separate"/>
      </w:r>
      <w:r w:rsidRPr="008D6943">
        <w:rPr>
          <w:rFonts w:ascii="Cambria" w:hAnsi="Cambria"/>
          <w:noProof/>
        </w:rPr>
        <w:t xml:space="preserve">Ali Mansur, “Ahli Kitab dalam Al-Qur’an: Model Penafsiran Fazlur Rahman,” in </w:t>
      </w:r>
      <w:r w:rsidRPr="008D6943">
        <w:rPr>
          <w:rFonts w:ascii="Cambria" w:hAnsi="Cambria"/>
          <w:i/>
          <w:noProof/>
        </w:rPr>
        <w:t>Studi Al-Qur’an Kontemporer: Wacana Baru Berbagai Metodologi Tafsir</w:t>
      </w:r>
      <w:r w:rsidRPr="008D6943">
        <w:rPr>
          <w:rFonts w:ascii="Cambria" w:hAnsi="Cambria"/>
          <w:noProof/>
        </w:rPr>
        <w:t>, ed. oleh Abdul Mustaqim dan Sahiron Syamsudin, 1 ed. (Yogyakarta: PT. Tiara Wacana Yogya, 2002), 55.</w:t>
      </w:r>
      <w:r w:rsidRPr="008D6943">
        <w:rPr>
          <w:rFonts w:ascii="Cambria" w:hAnsi="Cambria"/>
        </w:rPr>
        <w:fldChar w:fldCharType="end"/>
      </w:r>
    </w:p>
  </w:footnote>
  <w:footnote w:id="3">
    <w:p w14:paraId="534C8794" w14:textId="77777777" w:rsidR="00056C54" w:rsidRPr="008D6943" w:rsidRDefault="00056C54" w:rsidP="00056C54">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lang w:val="id-ID"/>
        </w:rPr>
        <w:t xml:space="preserve"> </w:t>
      </w:r>
      <w:r w:rsidRPr="008D6943">
        <w:rPr>
          <w:rFonts w:ascii="Cambria" w:hAnsi="Cambria"/>
        </w:rPr>
        <w:fldChar w:fldCharType="begin" w:fldLock="1"/>
      </w:r>
      <w:r w:rsidRPr="008D6943">
        <w:rPr>
          <w:rFonts w:ascii="Cambria" w:hAnsi="Cambria"/>
          <w:lang w:val="id-ID"/>
        </w:rPr>
        <w:instrText>ADDIN CSL_CITATION {"citationItems":[{"id":"ITEM-1","itemData":{"author":[{"dropping-particle":"","family":"Al-Żahabi","given":"Muḥammad Husayn","non-dropping-particle":"","parse-names":false,"suffix":""}],"edition":"1","id":"ITEM-1","issued":{"date-parts":[["2014"]]},"publisher":"Maktabah Wahbah","publisher-place":"Kairo","title":"Al-Tafsīr wa Al-Mufassirūn","type":"book","volume":"1"},"locator":"44","uris":["http://www.mendeley.com/documents/?uuid=c5e19feb-f5e5-4059-9e46-69bb023773f1"]}],"mendeley":{"formattedCitation":"Muḥammad Husayn Al-Żahabi, &lt;i&gt;Al-Tafsīr wa Al-Mufassirūn&lt;/i&gt;, 1 ed., vol. 1 (Kairo: Maktabah Wahbah, 2014), 44.","plainTextFormattedCitation":"Muḥammad Husayn Al-Żahabi, Al-Tafsīr wa Al-Mufassirūn, 1 ed., vol. 1 (Kairo: Maktabah Wahbah, 2014), 44.","previouslyFormattedCitation":"Muḥammad Husayn Al-Żahabi, &lt;i&gt;Al-Tafsīr wa Al-Mufassirūn&lt;/i&gt;, 1 ed., vol. 1 (Kairo: Maktabah Wahbah, 2014), 44."},"properties":{"noteIndex":3},"schema":"https://github.com/citation-style-language/schema/raw/master/csl-citation.json"}</w:instrText>
      </w:r>
      <w:r w:rsidRPr="008D6943">
        <w:rPr>
          <w:rFonts w:ascii="Cambria" w:hAnsi="Cambria"/>
        </w:rPr>
        <w:fldChar w:fldCharType="separate"/>
      </w:r>
      <w:r w:rsidRPr="008D6943">
        <w:rPr>
          <w:rFonts w:ascii="Cambria" w:hAnsi="Cambria"/>
          <w:noProof/>
          <w:lang w:val="id-ID"/>
        </w:rPr>
        <w:t xml:space="preserve">Muḥammad Husayn Al-Żahabi, </w:t>
      </w:r>
      <w:r w:rsidRPr="008D6943">
        <w:rPr>
          <w:rFonts w:ascii="Cambria" w:hAnsi="Cambria"/>
          <w:i/>
          <w:noProof/>
          <w:lang w:val="id-ID"/>
        </w:rPr>
        <w:t>Al-Tafsīr wa Al-Mufassirūn</w:t>
      </w:r>
      <w:r w:rsidRPr="008D6943">
        <w:rPr>
          <w:rFonts w:ascii="Cambria" w:hAnsi="Cambria"/>
          <w:noProof/>
          <w:lang w:val="id-ID"/>
        </w:rPr>
        <w:t>, 1 ed., vol. 1 (Kairo: Maktabah Wahbah, 2014), 44.</w:t>
      </w:r>
      <w:r w:rsidRPr="008D6943">
        <w:rPr>
          <w:rFonts w:ascii="Cambria" w:hAnsi="Cambria"/>
        </w:rPr>
        <w:fldChar w:fldCharType="end"/>
      </w:r>
    </w:p>
  </w:footnote>
  <w:footnote w:id="4">
    <w:p w14:paraId="7562C023" w14:textId="1F4E5F8D" w:rsidR="00056C54" w:rsidRPr="008D6943" w:rsidRDefault="00056C54" w:rsidP="00056C54">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lang w:val="id-ID"/>
        </w:rPr>
        <w:t xml:space="preserve"> </w:t>
      </w:r>
      <w:r w:rsidRPr="008D6943">
        <w:rPr>
          <w:rFonts w:ascii="Cambria" w:hAnsi="Cambria"/>
        </w:rPr>
        <w:fldChar w:fldCharType="begin" w:fldLock="1"/>
      </w:r>
      <w:r w:rsidR="00681B1F">
        <w:rPr>
          <w:rFonts w:ascii="Cambria" w:hAnsi="Cambria"/>
          <w:lang w:val="id-ID"/>
        </w:rPr>
        <w:instrText>ADDIN CSL_CITATION {"citationItems":[{"id":"ITEM-1","itemData":{"author":[{"dropping-particle":"","family":"Al-Żahabi","given":"Muḥammad Husayn","non-dropping-particle":"","parse-names":false,"suffix":""}],"edition":"1","id":"ITEM-1","issued":{"date-parts":[["2014"]]},"publisher":"Maktabah Wahbah","publisher-place":"Kairo","title":"Al-Tafsīr wa Al-Mufassirūn","type":"book","volume":"1"},"locator":"143","uris":["http://www.mendeley.com/documents/?uuid=c5e19feb-f5e5-4059-9e46-69bb023773f1"]},{"id":"ITEM-2","itemData":{"ISBN":"978-90-04-19238-8","author":[{"dropping-particle":"","family":"Nickel","given":"Gordon","non-dropping-particle":"","parse-names":false,"suffix":""}],"edition":"1","editor":[{"dropping-particle":"","family":"Thomas","given":"David","non-dropping-particle":"","parse-names":false,"suffix":""},{"dropping-particle":"","family":"Khalidi","given":"Tarif","non-dropping-particle":"","parse-names":false,"suffix":""},{"dropping-particle":"","family":"Reinink","given":"Gerrit Jan","non-dropping-particle":"","parse-names":false,"suffix":""},{"dropping-particle":"","family":"Swanson","given":"Mark","non-dropping-particle":"","parse-names":false,"suffix":""}],"id":"ITEM-2","issued":{"date-parts":[["2011"]]},"publisher":"Koninklijke Brill NV","publisher-place":"Leiden, Boston","title":"Narratives of Tampering inthe Earliest Commentaries on the Qur'an","type":"book"},"locator":"9-11","prefix":"Nickel specifically examines the pattern of writing in the interpretation of Muqatil and Tabari related to the verses of the Qur'an containing verbs and expressions damaging Biblical narratives that they quote. See","uris":["http://www.mendeley.com/documents/?uuid=8f93701a-3b38-423a-891c-e5cbe4583069"]},{"id":"ITEM-3","itemData":{"DOI":"10.1080/09503110.2016.1152821","ISSN":"0950-3110","author":[{"dropping-particle":"","family":"Saleh","given":"Walid A.","non-dropping-particle":"","parse-names":false,"suffix":""}],"container-title":"Al-Masāq","id":"ITEM-3","issue":"1","issued":{"date-parts":[["2016","1","2"]]},"page":"101-104","title":"Narratives of Tampering in the Earliest Commentaries on the Qurʾān","type":"article-journal","volume":"28"},"locator":"101-102","prefix":"Nickel's research was later criticised by Walid Shaleh, according to him Nickel is too simplistic in concluding ‘Muslim accusations against the authenticity of the biblical scriptures’. ","uris":["http://www.mendeley.com/documents/?uuid=c804a219-64d8-406d-880f-b0d3f94a506b"]}],"mendeley":{"formattedCitation":"Al-Żahabi, 1:143; Nickel specifically examines the pattern of writing in the interpretation of Muqatil and Tabari related to the verses of the Qur’an containing verbs and expressions damaging Biblical narratives that they quote. See Gordon Nickel, &lt;i&gt;Narratives of Tampering inthe Earliest Commentaries on the Qur’an&lt;/i&gt;, ed. oleh David Thomas et al., 1 ed. (Leiden, Boston: Koninklijke Brill NV, 2011), 9–11; Nickel’s research was later criticised by Walid Shaleh, according to him Nickel is too simplistic in concluding ‘Muslim accusations against the authenticity of the biblical scriptures’. Walid A. Saleh, “Narratives of Tampering in the Earliest Commentaries on the Qurʾān,” &lt;i&gt;Al-Masāq&lt;/i&gt; 28, no. 1 (2 Januari 2016): 101–2, https://doi.org/10.1080/09503110.2016.1152821.","plainTextFormattedCitation":"Al-Żahabi, 1:143; Nickel specifically examines the pattern of writing in the interpretation of Muqatil and Tabari related to the verses of the Qur’an containing verbs and expressions damaging Biblical narratives that they quote. See Gordon Nickel, Narratives of Tampering inthe Earliest Commentaries on the Qur’an, ed. oleh David Thomas et al., 1 ed. (Leiden, Boston: Koninklijke Brill NV, 2011), 9–11; Nickel’s research was later criticised by Walid Shaleh, according to him Nickel is too simplistic in concluding ‘Muslim accusations against the authenticity of the biblical scriptures’. Walid A. Saleh, “Narratives of Tampering in the Earliest Commentaries on the Qurʾān,” Al-Masāq 28, no. 1 (2 Januari 2016): 101–2, https://doi.org/10.1080/09503110.2016.1152821.","previouslyFormattedCitation":"Al-Żahabi, 1:143; Nickel specifically examines the pattern of writing in the interpretation of Muqatil and Tabari related to the verses of the Qur’an containing verbs and expressions damaging Biblical narratives that they quote. See Gordon Nickel, &lt;i&gt;Narratives of Tampering inthe Earliest Commentaries on the Qur’an&lt;/i&gt;, ed. oleh David Thomas et al., 1 ed. (Leiden, Boston: Koninklijke Brill NV, 2011), 9–11; Nickel’s research was later criticised by Walid Shaleh, according to him Nickel is too simplistic in concluding ‘Muslim accusations against the authenticity of the biblical scriptures’. Walid A. Saleh, “Narratives of Tampering in the Earliest Commentaries on the Qurʾān,” &lt;i&gt;Al-Masāq&lt;/i&gt; 28, no. 1 (2 Januari 2016): 101–2, https://doi.org/10.1080/09503110.2016.1152821."},"properties":{"noteIndex":4},"schema":"https://github.com/citation-style-language/schema/raw/master/csl-citation.json"}</w:instrText>
      </w:r>
      <w:r w:rsidRPr="008D6943">
        <w:rPr>
          <w:rFonts w:ascii="Cambria" w:hAnsi="Cambria"/>
        </w:rPr>
        <w:fldChar w:fldCharType="separate"/>
      </w:r>
      <w:r w:rsidR="00681B1F" w:rsidRPr="00681B1F">
        <w:rPr>
          <w:rFonts w:ascii="Cambria" w:hAnsi="Cambria"/>
          <w:noProof/>
          <w:lang w:val="id-ID"/>
        </w:rPr>
        <w:t xml:space="preserve">Al-Żahabi, 1:143; Nickel specifically examines the pattern of writing in the interpretation of Muqatil and Tabari related to the verses of the Qur’an containing verbs and expressions damaging Biblical narratives that they quote. See Gordon Nickel, </w:t>
      </w:r>
      <w:r w:rsidR="00681B1F" w:rsidRPr="00681B1F">
        <w:rPr>
          <w:rFonts w:ascii="Cambria" w:hAnsi="Cambria"/>
          <w:i/>
          <w:noProof/>
          <w:lang w:val="id-ID"/>
        </w:rPr>
        <w:t>Narratives of Tampering inthe Earliest Commentaries on the Qur’an</w:t>
      </w:r>
      <w:r w:rsidR="00681B1F" w:rsidRPr="00681B1F">
        <w:rPr>
          <w:rFonts w:ascii="Cambria" w:hAnsi="Cambria"/>
          <w:noProof/>
          <w:lang w:val="id-ID"/>
        </w:rPr>
        <w:t xml:space="preserve">, ed. oleh David Thomas et al., 1 ed. (Leiden, Boston: Koninklijke Brill NV, 2011), 9–11; Nickel’s research was later criticised by Walid Shaleh, according to him Nickel is too simplistic in concluding ‘Muslim accusations against the authenticity of the biblical scriptures’. Walid A. Saleh, “Narratives of Tampering in the Earliest Commentaries on the Qurʾān,” </w:t>
      </w:r>
      <w:r w:rsidR="00681B1F" w:rsidRPr="00681B1F">
        <w:rPr>
          <w:rFonts w:ascii="Cambria" w:hAnsi="Cambria"/>
          <w:i/>
          <w:noProof/>
          <w:lang w:val="id-ID"/>
        </w:rPr>
        <w:t>Al-Masāq</w:t>
      </w:r>
      <w:r w:rsidR="00681B1F" w:rsidRPr="00681B1F">
        <w:rPr>
          <w:rFonts w:ascii="Cambria" w:hAnsi="Cambria"/>
          <w:noProof/>
          <w:lang w:val="id-ID"/>
        </w:rPr>
        <w:t xml:space="preserve"> 28, no. 1 (2 Januari 2016): 101–2, https://doi.org/10.1080/09503110.2016.1152821.</w:t>
      </w:r>
      <w:r w:rsidRPr="008D6943">
        <w:rPr>
          <w:rFonts w:ascii="Cambria" w:hAnsi="Cambria"/>
        </w:rPr>
        <w:fldChar w:fldCharType="end"/>
      </w:r>
    </w:p>
  </w:footnote>
  <w:footnote w:id="5">
    <w:p w14:paraId="5DF0E306" w14:textId="77777777" w:rsidR="00056C54" w:rsidRPr="008D6943" w:rsidRDefault="00056C54" w:rsidP="00056C54">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lang w:val="id-ID"/>
        </w:rPr>
        <w:t xml:space="preserve"> </w:t>
      </w:r>
      <w:r w:rsidRPr="008D6943">
        <w:rPr>
          <w:rFonts w:ascii="Cambria" w:hAnsi="Cambria"/>
        </w:rPr>
        <w:fldChar w:fldCharType="begin" w:fldLock="1"/>
      </w:r>
      <w:r w:rsidRPr="008D6943">
        <w:rPr>
          <w:rFonts w:ascii="Cambria" w:hAnsi="Cambria"/>
          <w:lang w:val="id-ID"/>
        </w:rPr>
        <w:instrText>ADDIN CSL_CITATION {"citationItems":[{"id":"ITEM-1","itemData":{"author":[{"dropping-particle":"","family":"Al-Żahabi","given":"Muḥammad Husayn","non-dropping-particle":"","parse-names":false,"suffix":""}],"edition":"1","id":"ITEM-1","issued":{"date-parts":[["2014"]]},"publisher":"Maktabah Wahbah","publisher-place":"Kairo","title":"Al-Tafsīr wa Al-Mufassirūn","type":"book","volume":"1"},"locator":"44","uris":["http://www.mendeley.com/documents/?uuid=c5e19feb-f5e5-4059-9e46-69bb023773f1"]}],"mendeley":{"formattedCitation":"Al-Żahabi, &lt;i&gt;Al-Tafsīr wa Al-Mufassirūn&lt;/i&gt;, 1:44.","plainTextFormattedCitation":"Al-Żahabi, Al-Tafsīr wa Al-Mufassirūn, 1:44.","previouslyFormattedCitation":"Al-Żahabi, &lt;i&gt;Al-Tafsīr wa Al-Mufassirūn&lt;/i&gt;, 1:44."},"properties":{"noteIndex":5},"schema":"https://github.com/citation-style-language/schema/raw/master/csl-citation.json"}</w:instrText>
      </w:r>
      <w:r w:rsidRPr="008D6943">
        <w:rPr>
          <w:rFonts w:ascii="Cambria" w:hAnsi="Cambria"/>
        </w:rPr>
        <w:fldChar w:fldCharType="separate"/>
      </w:r>
      <w:r w:rsidRPr="008D6943">
        <w:rPr>
          <w:rFonts w:ascii="Cambria" w:hAnsi="Cambria"/>
          <w:noProof/>
          <w:lang w:val="id-ID"/>
        </w:rPr>
        <w:t xml:space="preserve">Al-Żahabi, </w:t>
      </w:r>
      <w:r w:rsidRPr="008D6943">
        <w:rPr>
          <w:rFonts w:ascii="Cambria" w:hAnsi="Cambria"/>
          <w:i/>
          <w:noProof/>
          <w:lang w:val="id-ID"/>
        </w:rPr>
        <w:t>Al-Tafsīr wa Al-Mufassirūn</w:t>
      </w:r>
      <w:r w:rsidRPr="008D6943">
        <w:rPr>
          <w:rFonts w:ascii="Cambria" w:hAnsi="Cambria"/>
          <w:noProof/>
          <w:lang w:val="id-ID"/>
        </w:rPr>
        <w:t>, 1:44.</w:t>
      </w:r>
      <w:r w:rsidRPr="008D6943">
        <w:rPr>
          <w:rFonts w:ascii="Cambria" w:hAnsi="Cambria"/>
        </w:rPr>
        <w:fldChar w:fldCharType="end"/>
      </w:r>
    </w:p>
  </w:footnote>
  <w:footnote w:id="6">
    <w:p w14:paraId="5687E0B3" w14:textId="77777777" w:rsidR="00056C54" w:rsidRPr="008D6943" w:rsidRDefault="00056C54" w:rsidP="00056C54">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Pr="008D6943">
        <w:rPr>
          <w:rFonts w:ascii="Cambria" w:hAnsi="Cambria"/>
        </w:rPr>
        <w:instrText>ADDIN CSL_CITATION {"citationItems":[{"id":"ITEM-1","itemData":{"DOI":"https://doi.org/10.12730/13091719.2019.101","author":[{"dropping-particle":"","family":"Reynolds","given":"Gabriel Said","non-dropping-particle":"","parse-names":false,"suffix":""}],"id":"ITEM-1","issued":{"date-parts":[["2018"]]},"publisher":"Yale University Press","publisher-place":"New Haven","title":"The Qur'an and the Bible (Text and Commentary)","type":"book"},"locator":"1","uris":["http://www.mendeley.com/documents/?uuid=3f928ac5-bb6e-4c7c-8cbc-ead9976988ab"]},{"id":"ITEM-2","itemData":{"ISSN":"00030279","author":[{"dropping-particle":"","family":"Reynolds","given":"Gabriel Said","non-dropping-particle":"","parse-names":false,"suffix":""}],"container-title":"Journal of the American Oriental Society","id":"ITEM-2","issue":"2","issued":{"date-parts":[["2010","6","11"]]},"page":"189-202","publisher":"American Oriental Society","title":"On the Qurʾanic Accusation of Scriptural Falsification (taḥrīf) and Christian Anti-Jewish Polemic","type":"article-journal","volume":"130"},"locator":"189","uris":["http://www.mendeley.com/documents/?uuid=5b1781dc-ac1e-47c7-8d4f-5b170f644160"]}],"mendeley":{"formattedCitation":"Gabriel Said Reynolds, &lt;i&gt;The Qur’an and the Bible (Text and Commentary)&lt;/i&gt; (New Haven: Yale University Press, 2018), 1, https://doi.org/https://doi.org/10.12730/13091719.2019.101; Gabriel Said Reynolds, “On the Qurʾanic Accusation of Scriptural Falsification (taḥrīf) and Christian Anti-Jewish Polemic,” &lt;i&gt;Journal of the American Oriental Society&lt;/i&gt; 130, no. 2 (11 Juni 2010): 189, http://www.jstor.org/stable/23044514.","plainTextFormattedCitation":"Gabriel Said Reynolds, The Qur’an and the Bible (Text and Commentary) (New Haven: Yale University Press, 2018), 1, https://doi.org/https://doi.org/10.12730/13091719.2019.101; Gabriel Said Reynolds, “On the Qurʾanic Accusation of Scriptural Falsification (taḥrīf) and Christian Anti-Jewish Polemic,” Journal of the American Oriental Society 130, no. 2 (11 Juni 2010): 189, http://www.jstor.org/stable/23044514.","previouslyFormattedCitation":"Gabriel Said Reynolds, &lt;i&gt;The Qur’an and the Bible (Text and Commentary)&lt;/i&gt; (New Haven: Yale University Press, 2018), 1, https://doi.org/https://doi.org/10.12730/13091719.2019.101; Gabriel Said Reynolds, “On the Qurʾanic Accusation of Scriptural Falsification (taḥrīf) and Christian Anti-Jewish Polemic,” &lt;i&gt;Journal of the American Oriental Society&lt;/i&gt; 130, no. 2 (11 Juni 2010): 189, http://www.jstor.org/stable/23044514."},"properties":{"noteIndex":6},"schema":"https://github.com/citation-style-language/schema/raw/master/csl-citation.json"}</w:instrText>
      </w:r>
      <w:r w:rsidRPr="008D6943">
        <w:rPr>
          <w:rFonts w:ascii="Cambria" w:hAnsi="Cambria"/>
        </w:rPr>
        <w:fldChar w:fldCharType="separate"/>
      </w:r>
      <w:r w:rsidRPr="008D6943">
        <w:rPr>
          <w:rFonts w:ascii="Cambria" w:hAnsi="Cambria"/>
          <w:noProof/>
        </w:rPr>
        <w:t xml:space="preserve">Gabriel Said Reynolds, </w:t>
      </w:r>
      <w:r w:rsidRPr="008D6943">
        <w:rPr>
          <w:rFonts w:ascii="Cambria" w:hAnsi="Cambria"/>
          <w:i/>
          <w:noProof/>
        </w:rPr>
        <w:t>The Qur’an and the Bible (Text and Commentary)</w:t>
      </w:r>
      <w:r w:rsidRPr="008D6943">
        <w:rPr>
          <w:rFonts w:ascii="Cambria" w:hAnsi="Cambria"/>
          <w:noProof/>
        </w:rPr>
        <w:t xml:space="preserve"> (New Haven: Yale University Press, 2018), 1, https://doi.org/https://doi.org/10.12730/13091719.2019.101; Gabriel Said Reynolds, “On the Qurʾanic Accusation of Scriptural Falsification (taḥrīf) and Christian Anti-Jewish Polemic,” </w:t>
      </w:r>
      <w:r w:rsidRPr="008D6943">
        <w:rPr>
          <w:rFonts w:ascii="Cambria" w:hAnsi="Cambria"/>
          <w:i/>
          <w:noProof/>
        </w:rPr>
        <w:t>Journal of the American Oriental Society</w:t>
      </w:r>
      <w:r w:rsidRPr="008D6943">
        <w:rPr>
          <w:rFonts w:ascii="Cambria" w:hAnsi="Cambria"/>
          <w:noProof/>
        </w:rPr>
        <w:t xml:space="preserve"> 130, no. 2 (11 Juni 2010): 189, http://www.jstor.org/stable/23044514.</w:t>
      </w:r>
      <w:r w:rsidRPr="008D6943">
        <w:rPr>
          <w:rFonts w:ascii="Cambria" w:hAnsi="Cambria"/>
        </w:rPr>
        <w:fldChar w:fldCharType="end"/>
      </w:r>
    </w:p>
  </w:footnote>
  <w:footnote w:id="7">
    <w:p w14:paraId="266369EB" w14:textId="77777777" w:rsidR="00056C54" w:rsidRPr="008D6943" w:rsidRDefault="00056C54" w:rsidP="00056C54">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Pr="008D6943">
        <w:rPr>
          <w:rFonts w:ascii="Cambria" w:hAnsi="Cambria"/>
        </w:rPr>
        <w:instrText>ADDIN CSL_CITATION {"citationItems":[{"id":"ITEM-1","itemData":{"DOI":"10.3366/E1465359108000119","ISSN":"1465-3591","author":[{"dropping-particle":"","family":"Neuwirth","given":"Angelika","non-dropping-particle":"","parse-names":false,"suffix":""}],"container-title":"Journal of Qur'anic Studies","id":"ITEM-1","issue":"2","issued":{"date-parts":[["2007","10"]]},"page":"115-127","title":"Orientalism in Oriental Studies? Qur'anic Studies as a Case in Point","type":"article-journal","volume":"9"},"locator":"116","uris":["http://www.mendeley.com/documents/?uuid=f3d1aadf-d4be-3580-b40d-b61086078021"]}],"mendeley":{"formattedCitation":"Angelika Neuwirth, “Orientalism in Oriental Studies? Qur’anic Studies as a Case in Point,” &lt;i&gt;Journal of Qur’anic Studies&lt;/i&gt; 9, no. 2 (Oktober 2007): 116, https://doi.org/10.3366/E1465359108000119.","plainTextFormattedCitation":"Angelika Neuwirth, “Orientalism in Oriental Studies? Qur’anic Studies as a Case in Point,” Journal of Qur’anic Studies 9, no. 2 (Oktober 2007): 116, https://doi.org/10.3366/E1465359108000119.","previouslyFormattedCitation":"Angelika Neuwirth, “Orientalism in Oriental Studies? Qur’anic Studies as a Case in Point,” &lt;i&gt;Journal of Qur’anic Studies&lt;/i&gt; 9, no. 2 (Oktober 2007): 116, https://doi.org/10.3366/E1465359108000119."},"properties":{"noteIndex":7},"schema":"https://github.com/citation-style-language/schema/raw/master/csl-citation.json"}</w:instrText>
      </w:r>
      <w:r w:rsidRPr="008D6943">
        <w:rPr>
          <w:rFonts w:ascii="Cambria" w:hAnsi="Cambria"/>
        </w:rPr>
        <w:fldChar w:fldCharType="separate"/>
      </w:r>
      <w:r w:rsidRPr="008D6943">
        <w:rPr>
          <w:rFonts w:ascii="Cambria" w:hAnsi="Cambria"/>
          <w:noProof/>
        </w:rPr>
        <w:t xml:space="preserve">Angelika Neuwirth, “Orientalism in Oriental Studies? Qur’anic Studies as a Case in Point,” </w:t>
      </w:r>
      <w:r w:rsidRPr="008D6943">
        <w:rPr>
          <w:rFonts w:ascii="Cambria" w:hAnsi="Cambria"/>
          <w:i/>
          <w:noProof/>
        </w:rPr>
        <w:t>Journal of Qur’anic Studies</w:t>
      </w:r>
      <w:r w:rsidRPr="008D6943">
        <w:rPr>
          <w:rFonts w:ascii="Cambria" w:hAnsi="Cambria"/>
          <w:noProof/>
        </w:rPr>
        <w:t xml:space="preserve"> 9, no. 2 (Oktober 2007): 116, https://doi.org/10.3366/E1465359108000119.</w:t>
      </w:r>
      <w:r w:rsidRPr="008D6943">
        <w:rPr>
          <w:rFonts w:ascii="Cambria" w:hAnsi="Cambria"/>
        </w:rPr>
        <w:fldChar w:fldCharType="end"/>
      </w:r>
    </w:p>
  </w:footnote>
  <w:footnote w:id="8">
    <w:p w14:paraId="03583DC0" w14:textId="2BD46291" w:rsidR="00056C54" w:rsidRPr="008D6943" w:rsidRDefault="00056C54" w:rsidP="00056C54">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006B6CF6">
        <w:rPr>
          <w:rFonts w:ascii="Cambria" w:hAnsi="Cambria"/>
        </w:rPr>
        <w:instrText>ADDIN CSL_CITATION {"citationItems":[{"id":"ITEM-1","itemData":{"DOI":"10.4324/9780203939604","ISBN":"9781134109456","author":[{"dropping-particle":"","family":"Reynolds","given":"Gabriel Said","non-dropping-particle":"","parse-names":false,"suffix":""}],"edition":"1","editor":[{"dropping-particle":"","family":"Reynolds","given":"Gabriel","non-dropping-particle":"","parse-names":false,"suffix":""}],"id":"ITEM-1","issued":{"date-parts":[["2007","9","28"]]},"publisher":"Routledge","publisher-place":"London","title":"The Qur'an in its Historical Context","type":"book"},"locator":"vii","prefix":"Daneil Madigan explains in the introduction of this book, that the paradigm used by the old generation of orientalists such as Luxenberg was anti-Muslim polemics. See further","uris":["http://www.mendeley.com/documents/?uuid=d68999d5-7d8c-4f30-9a2c-eac5e0e6ecf5"]}],"mendeley":{"formattedCitation":"Daneil Madigan explains in the introduction of this book, that the paradigm used by the old generation of orientalists such as Luxenberg was anti-Muslim polemics. See further Gabriel Said Reynolds, &lt;i&gt;The Qur’an in its Historical Context&lt;/i&gt;, ed. oleh Gabriel Reynolds, 1 ed. (London: Routledge, 2007), vii, https://doi.org/10.4324/9780203939604.","plainTextFormattedCitation":"Daneil Madigan explains in the introduction of this book, that the paradigm used by the old generation of orientalists such as Luxenberg was anti-Muslim polemics. See further Gabriel Said Reynolds, The Qur’an in its Historical Context, ed. oleh Gabriel Reynolds, 1 ed. (London: Routledge, 2007), vii, https://doi.org/10.4324/9780203939604.","previouslyFormattedCitation":"Daneil Madigan explains in the introduction of this book, that the paradigm used by the old generation of orientalists such as Luxenberg was anti-Muslim polemics. See further Gabriel Said Reynolds, &lt;i&gt;The Qur’an in its Historical Context&lt;/i&gt;, ed. oleh Gabriel Reynolds, 1 ed. (London: Routledge, 2007), vii, https://doi.org/10.4324/9780203939604."},"properties":{"noteIndex":8},"schema":"https://github.com/citation-style-language/schema/raw/master/csl-citation.json"}</w:instrText>
      </w:r>
      <w:r w:rsidRPr="008D6943">
        <w:rPr>
          <w:rFonts w:ascii="Cambria" w:hAnsi="Cambria"/>
        </w:rPr>
        <w:fldChar w:fldCharType="separate"/>
      </w:r>
      <w:r w:rsidR="00681B1F" w:rsidRPr="00681B1F">
        <w:rPr>
          <w:rFonts w:ascii="Cambria" w:hAnsi="Cambria"/>
          <w:noProof/>
        </w:rPr>
        <w:t xml:space="preserve">Daneil Madigan explains in the introduction of this book, that the paradigm used by the old generation of orientalists such as Luxenberg was anti-Muslim polemics. See further Gabriel Said Reynolds, </w:t>
      </w:r>
      <w:r w:rsidR="00681B1F" w:rsidRPr="00681B1F">
        <w:rPr>
          <w:rFonts w:ascii="Cambria" w:hAnsi="Cambria"/>
          <w:i/>
          <w:noProof/>
        </w:rPr>
        <w:t>The Qur’an in its Historical Context</w:t>
      </w:r>
      <w:r w:rsidR="00681B1F" w:rsidRPr="00681B1F">
        <w:rPr>
          <w:rFonts w:ascii="Cambria" w:hAnsi="Cambria"/>
          <w:noProof/>
        </w:rPr>
        <w:t>, ed. oleh Gabriel Reynolds, 1 ed. (London: Routledge, 2007), vii, https://doi.org/10.4324/9780203939604.</w:t>
      </w:r>
      <w:r w:rsidRPr="008D6943">
        <w:rPr>
          <w:rFonts w:ascii="Cambria" w:hAnsi="Cambria"/>
        </w:rPr>
        <w:fldChar w:fldCharType="end"/>
      </w:r>
    </w:p>
  </w:footnote>
  <w:footnote w:id="9">
    <w:p w14:paraId="15AE2C78" w14:textId="77777777" w:rsidR="00056C54" w:rsidRPr="008D6943" w:rsidRDefault="00056C54" w:rsidP="00056C54">
      <w:pPr>
        <w:pStyle w:val="TeksCatatanKaki"/>
        <w:jc w:val="both"/>
        <w:rPr>
          <w:rFonts w:ascii="Cambria" w:hAnsi="Cambria"/>
          <w:lang w:val="id-ID"/>
        </w:rPr>
      </w:pPr>
      <w:r w:rsidRPr="008D6943">
        <w:rPr>
          <w:rStyle w:val="ReferensiCatatanKaki"/>
          <w:rFonts w:ascii="Cambria" w:hAnsi="Cambria"/>
        </w:rPr>
        <w:footnoteRef/>
      </w:r>
      <w:r w:rsidRPr="00056C54">
        <w:rPr>
          <w:rFonts w:ascii="Cambria" w:hAnsi="Cambria"/>
          <w:lang w:val="id-ID"/>
        </w:rPr>
        <w:t xml:space="preserve"> </w:t>
      </w:r>
      <w:r w:rsidRPr="008D6943">
        <w:rPr>
          <w:rFonts w:ascii="Cambria" w:hAnsi="Cambria"/>
        </w:rPr>
        <w:fldChar w:fldCharType="begin" w:fldLock="1"/>
      </w:r>
      <w:r w:rsidRPr="00056C54">
        <w:rPr>
          <w:rFonts w:ascii="Cambria" w:hAnsi="Cambria"/>
          <w:lang w:val="id-ID"/>
        </w:rPr>
        <w:instrText>ADDIN CSL_CITATION {"citationItems":[{"id":"ITEM-1","itemData":{"DOI":"10.22548/shf.v10i1.249","ISSN":"2548-6942","abstract":"&lt;p&gt;Tulisan ini mendiskusikan pembacaan Angelika Neuwirth terhadap Al-Qurâ€™an dengan pendekatan historis-kritis melalui fokus kajian Al-Qurâ€™an sebelum fase kanonisasi (pre-canonical). Pembacaan dengan melibatkan dokumen â€œlate antiquityâ€&amp;#157; dianggap sebagai pendekatan komprehensif dalam melihat orisinalitas teks Al-Qurâ€™an secara historis. Para sarjana Barat sebelum Neuwirth sangat skeptis terhadap kajian Al-Qurâ€™an. Metode Neuwirth dalam melihat posisi Al-Qurâ€™an dengan teks-teks terdahulu - masa late antique - dan menempatkannya dalam kompleksitas historis sebagai sebuah proses komunikasi sangat patut diperhitungkan. Tulisan ini mengulas hubungan Al-Qurâ€™an dengan tradisi late antiquity serta tawaran Neuwirth terhadap model  pendekatan intertekstualitas dan struktur mikro Al-Qurâ€™an. Pendekatan yang digunakan dalam kajian ini adalah historis filosofis dan deskriptif-interpretatif. Pada akhirnya ia berkesimpulan bahwa teks Al-Qurâ€™an memiliki akar kesejarahan yang kuat dalam posisinya sebagai teks post-Biblikal. Neuwirth menunjukkan adanya akomodasi terhadap signifikansi dan pentingnya konteks late antiquity dalam melihat Al-Qurâ€™an sebagai literatur pos-Biblikal. Gagasan Neuwirth ini memiliki kontribusi besar terhadap perkembangan studi Al-Qurâ€™an di Barat yang bersifat dialogis-akademis.&amp;#13;  &amp;#13; Keyword: Late antiquity, struktur mikro, intertekstual.       &amp;#13;  &lt;/p&gt;","author":[{"dropping-particle":"","family":"Aini","given":"Adrika Fitrotul","non-dropping-particle":"","parse-names":false,"suffix":""},{"dropping-particle":"","family":"Musadad","given":"Asep Nahrul","non-dropping-particle":"","parse-names":false,"suffix":""}],"container-title":"SUHUF","id":"ITEM-1","issue":"1","issued":{"date-parts":[["2017","9","8"]]},"page":"173-192","title":"Konteks Late Antiquity dan Analisis Struktur Mikro Sebagai Counter atas Skeptisisme Orisinalitas Teks Al-Qurân: Refleksi Atas Pemikiran Angelika Neuwirth","type":"article-journal","volume":"10"},"locator":"175","uris":["http://www.mendeley.com/documents/?uuid=9d66edab-5ed5-4fdf-bb34-9e5ea1ba9c12"]}],"mendeley":{"formattedCitation":"Adrika Fitrotul Aini dan Asep Nahrul Musadad, “Konteks Late Antiquity dan Analisis Struktur Mikro Sebagai Counter atas Skeptisisme Orisinalitas Teks Al-Qurân: Refleksi Atas Pemikiran Angelika Neuwirth,” &lt;i&gt;SUHUF&lt;/i&gt; 10, no. 1 (8 September 2017): 175, https://doi.org/10.22548/shf.v10i1.249.","plainTextFormattedCitation":"Adrika Fitrotul Aini dan Asep Nahrul Musadad, “Konteks Late Antiquity dan Analisis Struktur Mikro Sebagai Counter atas Skeptisisme Orisinalitas Teks Al-Qurân: Refleksi Atas Pemikiran Angelika Neuwirth,” SUHUF 10, no. 1 (8 September 2017): 175, https://doi.org/10.22548/shf.v10i1.249.","previouslyFormattedCitation":"Adrika Fitrotul Aini dan Asep Nahrul Musadad, “Konteks Late Antiquity dan Analisis Struktur Mikro Sebagai Counter atas Skeptisisme Orisinalitas Teks Al-Qurân: Refleksi Atas Pemikiran Angelika Neuwirth,” &lt;i&gt;SUHUF&lt;/i&gt; 10, no. 1 (8 September 2017): 175, https://doi.org/10.22548/shf.v10i1.249."},"properties":{"noteIndex":9},"schema":"https://github.com/citation-style-language/schema/raw/master/csl-citation.json"}</w:instrText>
      </w:r>
      <w:r w:rsidRPr="008D6943">
        <w:rPr>
          <w:rFonts w:ascii="Cambria" w:hAnsi="Cambria"/>
        </w:rPr>
        <w:fldChar w:fldCharType="separate"/>
      </w:r>
      <w:r w:rsidRPr="00056C54">
        <w:rPr>
          <w:rFonts w:ascii="Cambria" w:hAnsi="Cambria"/>
          <w:noProof/>
          <w:lang w:val="id-ID"/>
        </w:rPr>
        <w:t xml:space="preserve">Adrika Fitrotul Aini dan Asep Nahrul Musadad, “Konteks Late Antiquity dan Analisis Struktur Mikro Sebagai Counter atas Skeptisisme Orisinalitas Teks Al-Qurân: Refleksi Atas Pemikiran Angelika Neuwirth,” </w:t>
      </w:r>
      <w:r w:rsidRPr="00056C54">
        <w:rPr>
          <w:rFonts w:ascii="Cambria" w:hAnsi="Cambria"/>
          <w:i/>
          <w:noProof/>
          <w:lang w:val="id-ID"/>
        </w:rPr>
        <w:t>SUHUF</w:t>
      </w:r>
      <w:r w:rsidRPr="00056C54">
        <w:rPr>
          <w:rFonts w:ascii="Cambria" w:hAnsi="Cambria"/>
          <w:noProof/>
          <w:lang w:val="id-ID"/>
        </w:rPr>
        <w:t xml:space="preserve"> 10, no. 1 (8 September 2017): 175, https://doi.org/10.22548/shf.v10i1.249.</w:t>
      </w:r>
      <w:r w:rsidRPr="008D6943">
        <w:rPr>
          <w:rFonts w:ascii="Cambria" w:hAnsi="Cambria"/>
        </w:rPr>
        <w:fldChar w:fldCharType="end"/>
      </w:r>
    </w:p>
  </w:footnote>
  <w:footnote w:id="10">
    <w:p w14:paraId="763D515E" w14:textId="77777777" w:rsidR="00056C54" w:rsidRPr="008D6943" w:rsidRDefault="00056C54" w:rsidP="00056C54">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Pr="008D6943">
        <w:rPr>
          <w:rFonts w:ascii="Cambria" w:hAnsi="Cambria"/>
        </w:rPr>
        <w:instrText>ADDIN CSL_CITATION {"citationItems":[{"id":"ITEM-1","itemData":{"author":[{"dropping-particle":"","family":"Geiger","given":"Abraham","non-dropping-particle":"","parse-names":false,"suffix":""}],"id":"ITEM-1","issued":{"date-parts":[["1898"]]},"publisher":"Madras","publisher-place":"New York","title":"Judaism and Islam, translated by Member of the Ladies League","type":"book"},"locator":"81","uris":["http://www.mendeley.com/documents/?uuid=d74068e3-8d18-419f-860a-cd97a51563e8"]}],"mendeley":{"formattedCitation":"Abraham Geiger, &lt;i&gt;Judaism and Islam, translated by Member of the Ladies League&lt;/i&gt; (New York: Madras, 1898), 81.","plainTextFormattedCitation":"Abraham Geiger, Judaism and Islam, translated by Member of the Ladies League (New York: Madras, 1898), 81.","previouslyFormattedCitation":"Abraham Geiger, &lt;i&gt;Judaism and Islam, translated by Member of the Ladies League&lt;/i&gt; (New York: Madras, 1898), 81."},"properties":{"noteIndex":10},"schema":"https://github.com/citation-style-language/schema/raw/master/csl-citation.json"}</w:instrText>
      </w:r>
      <w:r w:rsidRPr="008D6943">
        <w:rPr>
          <w:rFonts w:ascii="Cambria" w:hAnsi="Cambria"/>
        </w:rPr>
        <w:fldChar w:fldCharType="separate"/>
      </w:r>
      <w:r w:rsidRPr="008D6943">
        <w:rPr>
          <w:rFonts w:ascii="Cambria" w:hAnsi="Cambria"/>
          <w:noProof/>
        </w:rPr>
        <w:t xml:space="preserve">Abraham Geiger, </w:t>
      </w:r>
      <w:r w:rsidRPr="008D6943">
        <w:rPr>
          <w:rFonts w:ascii="Cambria" w:hAnsi="Cambria"/>
          <w:i/>
          <w:noProof/>
        </w:rPr>
        <w:t>Judaism and Islam, translated by Member of the Ladies League</w:t>
      </w:r>
      <w:r w:rsidRPr="008D6943">
        <w:rPr>
          <w:rFonts w:ascii="Cambria" w:hAnsi="Cambria"/>
          <w:noProof/>
        </w:rPr>
        <w:t xml:space="preserve"> (New York: Madras, 1898), 81.</w:t>
      </w:r>
      <w:r w:rsidRPr="008D6943">
        <w:rPr>
          <w:rFonts w:ascii="Cambria" w:hAnsi="Cambria"/>
        </w:rPr>
        <w:fldChar w:fldCharType="end"/>
      </w:r>
    </w:p>
  </w:footnote>
  <w:footnote w:id="11">
    <w:p w14:paraId="4E5D6F88" w14:textId="242E9A1F" w:rsidR="00056C54" w:rsidRPr="008D6943" w:rsidRDefault="00056C54" w:rsidP="00056C54">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lang w:val="id-ID"/>
        </w:rPr>
        <w:t xml:space="preserve"> </w:t>
      </w:r>
      <w:r w:rsidRPr="008D6943">
        <w:rPr>
          <w:rFonts w:ascii="Cambria" w:hAnsi="Cambria"/>
        </w:rPr>
        <w:fldChar w:fldCharType="begin" w:fldLock="1"/>
      </w:r>
      <w:r w:rsidR="00045EE2">
        <w:rPr>
          <w:rFonts w:ascii="Cambria" w:hAnsi="Cambria"/>
          <w:lang w:val="id-ID"/>
        </w:rPr>
        <w:instrText>ADDIN CSL_CITATION {"citationItems":[{"id":"ITEM-1","itemData":{"author":[{"dropping-particle":"","family":"Neusner","given":"Jacob","non-dropping-particle":"","parse-names":false,"suffix":""}],"edition":"6","id":"ITEM-1","issued":{"date-parts":[["1997"]]},"publisher":"Wadsworth Publishing Company","publisher-place":"New York","title":"The Way of Torah An Introduction to Judaism","type":"book"},"locator":"51-52","prefix":"The Mishnah is the primary scripture of Judaism, written between 70 C.E. and published after 200 C.E. The term ‘scripture’ is a Jewish perspective as a form of honouring the preservation of the teachings in the Hebrew scriptures, however the Mishnah does not imitate the writing style of the Hebrew Bible, nor does it attribute its words to central figures, such as heroes, prophets, or saints in the Bible. See for more information, ","uris":["http://www.mendeley.com/documents/?uuid=0da00075-c8c6-4d4e-81b2-3f5ae033872d"]}],"mendeley":{"formattedCitation":"The Mishnah is the primary scripture of Judaism, written between 70 C.E. and published after 200 C.E. The term ‘scripture’ is a Jewish perspective as a form of honouring the preservation of the teachings in the Hebrew scriptures, however the Mishnah does not imitate the writing style of the Hebrew Bible, nor does it attribute its words to central figures, such as heroes, prophets, or saints in the Bible. See for more information, Jacob Neusner, &lt;i&gt;The Way of Torah An Introduction to Judaism&lt;/i&gt;, 6 ed. (New York: Wadsworth Publishing Company, 1997), 51–52.","plainTextFormattedCitation":"The Mishnah is the primary scripture of Judaism, written between 70 C.E. and published after 200 C.E. The term ‘scripture’ is a Jewish perspective as a form of honouring the preservation of the teachings in the Hebrew scriptures, however the Mishnah does not imitate the writing style of the Hebrew Bible, nor does it attribute its words to central figures, such as heroes, prophets, or saints in the Bible. See for more information, Jacob Neusner, The Way of Torah An Introduction to Judaism, 6 ed. (New York: Wadsworth Publishing Company, 1997), 51–52.","previouslyFormattedCitation":"The Mishnah is the primary scripture of Judaism, written between 70 C.E. and published after 200 C.E. The term ‘scripture’ is a Jewish perspective as a form of honouring the preservation of the teachings in the Hebrew scriptures, however the Mishnah does not imitate the writing style of the Hebrew Bible, nor does it attribute its words to central figures, such as heroes, prophets, or saints in the Bible. See for more information, Jacob Neusner, &lt;i&gt;The Way of Torah An Introduction to Judaism&lt;/i&gt;, 6 ed. (New York: Wadsworth Publishing Company, 1997), 51–52."},"properties":{"noteIndex":11},"schema":"https://github.com/citation-style-language/schema/raw/master/csl-citation.json"}</w:instrText>
      </w:r>
      <w:r w:rsidRPr="008D6943">
        <w:rPr>
          <w:rFonts w:ascii="Cambria" w:hAnsi="Cambria"/>
        </w:rPr>
        <w:fldChar w:fldCharType="separate"/>
      </w:r>
      <w:r w:rsidR="00045EE2" w:rsidRPr="00045EE2">
        <w:rPr>
          <w:rFonts w:ascii="Cambria" w:hAnsi="Cambria"/>
          <w:noProof/>
          <w:lang w:val="id-ID"/>
        </w:rPr>
        <w:t xml:space="preserve">The Mishnah is the primary scripture of Judaism, written between 70 C.E. and published after 200 C.E. The term ‘scripture’ is a Jewish perspective as a form of honouring the preservation of the teachings in the Hebrew scriptures, however the Mishnah does not imitate the writing style of the Hebrew Bible, nor does it attribute its words to central figures, such as heroes, prophets, or saints in the Bible. See for more information, Jacob Neusner, </w:t>
      </w:r>
      <w:r w:rsidR="00045EE2" w:rsidRPr="00045EE2">
        <w:rPr>
          <w:rFonts w:ascii="Cambria" w:hAnsi="Cambria"/>
          <w:i/>
          <w:noProof/>
          <w:lang w:val="id-ID"/>
        </w:rPr>
        <w:t>The Way of Torah An Introduction to Judaism</w:t>
      </w:r>
      <w:r w:rsidR="00045EE2" w:rsidRPr="00045EE2">
        <w:rPr>
          <w:rFonts w:ascii="Cambria" w:hAnsi="Cambria"/>
          <w:noProof/>
          <w:lang w:val="id-ID"/>
        </w:rPr>
        <w:t>, 6 ed. (New York: Wadsworth Publishing Company, 1997), 51–52.</w:t>
      </w:r>
      <w:r w:rsidRPr="008D6943">
        <w:rPr>
          <w:rFonts w:ascii="Cambria" w:hAnsi="Cambria"/>
        </w:rPr>
        <w:fldChar w:fldCharType="end"/>
      </w:r>
    </w:p>
  </w:footnote>
  <w:footnote w:id="12">
    <w:p w14:paraId="4AF1F35C" w14:textId="77777777" w:rsidR="00056C54" w:rsidRPr="008D6943" w:rsidRDefault="00056C54" w:rsidP="00056C54">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Pr="008D6943">
        <w:rPr>
          <w:rFonts w:ascii="Cambria" w:hAnsi="Cambria"/>
        </w:rPr>
        <w:instrText>ADDIN CSL_CITATION {"citationItems":[{"id":"ITEM-1","itemData":{"author":[{"dropping-particle":"","family":"Joseph Benzion Witztum","given":"","non-dropping-particle":"","parse-names":false,"suffix":""}],"id":"ITEM-1","issued":{"date-parts":[["2011","9"]]},"publisher":"Princeton University","publisher-place":"New Jersey","title":"The Syriac Milieu of the Quran : The Recasting of Biblical Narratives","type":"thesis"},"locator":"123-124","uris":["http://www.mendeley.com/documents/?uuid=c63516db-8c1a-38f2-8b94-acd26b97474f"]}],"mendeley":{"formattedCitation":"Joseph Benzion Witztum, “The Syriac Milieu of the Quran : The Recasting of Biblical Narratives” (Princeton University, 2011), 123–24.","plainTextFormattedCitation":"Joseph Benzion Witztum, “The Syriac Milieu of the Quran : The Recasting of Biblical Narratives” (Princeton University, 2011), 123–24.","previouslyFormattedCitation":"Joseph Benzion Witztum, “The Syriac Milieu of the Quran : The Recasting of Biblical Narratives” (Princeton University, 2011), 123–24."},"properties":{"noteIndex":12},"schema":"https://github.com/citation-style-language/schema/raw/master/csl-citation.json"}</w:instrText>
      </w:r>
      <w:r w:rsidRPr="008D6943">
        <w:rPr>
          <w:rFonts w:ascii="Cambria" w:hAnsi="Cambria"/>
        </w:rPr>
        <w:fldChar w:fldCharType="separate"/>
      </w:r>
      <w:r w:rsidRPr="008D6943">
        <w:rPr>
          <w:rFonts w:ascii="Cambria" w:hAnsi="Cambria"/>
          <w:noProof/>
        </w:rPr>
        <w:t>Joseph Benzion Witztum, “The Syriac Milieu of the Quran : The Recasting of Biblical Narratives” (Princeton University, 2011), 123–24.</w:t>
      </w:r>
      <w:r w:rsidRPr="008D6943">
        <w:rPr>
          <w:rFonts w:ascii="Cambria" w:hAnsi="Cambria"/>
        </w:rPr>
        <w:fldChar w:fldCharType="end"/>
      </w:r>
    </w:p>
  </w:footnote>
  <w:footnote w:id="13">
    <w:p w14:paraId="0F5A16D9" w14:textId="77777777" w:rsidR="00056C54" w:rsidRPr="008D6943" w:rsidRDefault="00056C54" w:rsidP="00056C54">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Pr="008D6943">
        <w:rPr>
          <w:rFonts w:ascii="Cambria" w:hAnsi="Cambria"/>
        </w:rPr>
        <w:instrText>ADDIN CSL_CITATION {"citationItems":[{"id":"ITEM-1","itemData":{"DOI":"https://doi.org/10.12730/13091719.2019.101","author":[{"dropping-particle":"","family":"Reynolds","given":"Gabriel Said","non-dropping-particle":"","parse-names":false,"suffix":""}],"id":"ITEM-1","issued":{"date-parts":[["2018"]]},"publisher":"Yale University Press","publisher-place":"New Haven","title":"The Qur'an and the Bible (Text and Commentary)","type":"book"},"locator":"199","uris":["http://www.mendeley.com/documents/?uuid=3f928ac5-bb6e-4c7c-8cbc-ead9976988ab"]}],"mendeley":{"formattedCitation":"Reynolds, &lt;i&gt;The Qur’an and the Bible (Text and Commentary)&lt;/i&gt;, 199.","plainTextFormattedCitation":"Reynolds, The Qur’an and the Bible (Text and Commentary), 199.","previouslyFormattedCitation":"Reynolds, &lt;i&gt;The Qur’an and the Bible (Text and Commentary)&lt;/i&gt;, 199."},"properties":{"noteIndex":13},"schema":"https://github.com/citation-style-language/schema/raw/master/csl-citation.json"}</w:instrText>
      </w:r>
      <w:r w:rsidRPr="008D6943">
        <w:rPr>
          <w:rFonts w:ascii="Cambria" w:hAnsi="Cambria"/>
        </w:rPr>
        <w:fldChar w:fldCharType="separate"/>
      </w:r>
      <w:r w:rsidRPr="008D6943">
        <w:rPr>
          <w:rFonts w:ascii="Cambria" w:hAnsi="Cambria"/>
          <w:noProof/>
        </w:rPr>
        <w:t xml:space="preserve">Reynolds, </w:t>
      </w:r>
      <w:r w:rsidRPr="008D6943">
        <w:rPr>
          <w:rFonts w:ascii="Cambria" w:hAnsi="Cambria"/>
          <w:i/>
          <w:noProof/>
        </w:rPr>
        <w:t>The Qur’an and the Bible (Text and Commentary)</w:t>
      </w:r>
      <w:r w:rsidRPr="008D6943">
        <w:rPr>
          <w:rFonts w:ascii="Cambria" w:hAnsi="Cambria"/>
          <w:noProof/>
        </w:rPr>
        <w:t>, 199.</w:t>
      </w:r>
      <w:r w:rsidRPr="008D6943">
        <w:rPr>
          <w:rFonts w:ascii="Cambria" w:hAnsi="Cambria"/>
        </w:rPr>
        <w:fldChar w:fldCharType="end"/>
      </w:r>
    </w:p>
  </w:footnote>
  <w:footnote w:id="14">
    <w:p w14:paraId="7BB4C963" w14:textId="77777777" w:rsidR="006E6940" w:rsidRPr="008D6943" w:rsidRDefault="006E6940" w:rsidP="006E6940">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Pr="008D6943">
        <w:rPr>
          <w:rFonts w:ascii="Cambria" w:hAnsi="Cambria"/>
        </w:rPr>
        <w:instrText>ADDIN CSL_CITATION {"citationItems":[{"id":"ITEM-1","itemData":{"author":[{"dropping-particle":"","family":"Cuypers","given":"Michel","non-dropping-particle":"","parse-names":false,"suffix":""}],"id":"ITEM-1","issued":{"date-parts":[["2014"]]},"publisher":"Dar Al-Masyriq","publisher-place":"Kairo","title":"Fi Nazm Surah Al-Maidah, Terj 'Amr 'Abd Al-'Ati Salih","type":"book"},"locator":"199-200","uris":["http://www.mendeley.com/documents/?uuid=a222fd0a-1c42-4265-9e05-0f5f91d99c53"]}],"mendeley":{"formattedCitation":"Michel Cuypers, &lt;i&gt;Fi Nazm Surah Al-Maidah, Terj ’Amr ’Abd Al-’Ati Salih&lt;/i&gt; (Kairo: Dar Al-Masyriq, 2014), 199–200.","plainTextFormattedCitation":"Michel Cuypers, Fi Nazm Surah Al-Maidah, Terj ’Amr ’Abd Al-’Ati Salih (Kairo: Dar Al-Masyriq, 2014), 199–200.","previouslyFormattedCitation":"Michel Cuypers, &lt;i&gt;Fi Nazm Surah Al-Maidah, Terj ’Amr ’Abd Al-’Ati Salih&lt;/i&gt; (Kairo: Dar Al-Masyriq, 2014), 199–200."},"properties":{"noteIndex":14},"schema":"https://github.com/citation-style-language/schema/raw/master/csl-citation.json"}</w:instrText>
      </w:r>
      <w:r w:rsidRPr="008D6943">
        <w:rPr>
          <w:rFonts w:ascii="Cambria" w:hAnsi="Cambria"/>
        </w:rPr>
        <w:fldChar w:fldCharType="separate"/>
      </w:r>
      <w:r w:rsidRPr="008D6943">
        <w:rPr>
          <w:rFonts w:ascii="Cambria" w:hAnsi="Cambria"/>
          <w:noProof/>
        </w:rPr>
        <w:t xml:space="preserve">Michel Cuypers, </w:t>
      </w:r>
      <w:r w:rsidRPr="008D6943">
        <w:rPr>
          <w:rFonts w:ascii="Cambria" w:hAnsi="Cambria"/>
          <w:i/>
          <w:noProof/>
        </w:rPr>
        <w:t>Fi Nazm Surah Al-Maidah, Terj ’Amr ’Abd Al-’Ati Salih</w:t>
      </w:r>
      <w:r w:rsidRPr="008D6943">
        <w:rPr>
          <w:rFonts w:ascii="Cambria" w:hAnsi="Cambria"/>
          <w:noProof/>
        </w:rPr>
        <w:t xml:space="preserve"> (Kairo: Dar Al-Masyriq, 2014), 199–200.</w:t>
      </w:r>
      <w:r w:rsidRPr="008D6943">
        <w:rPr>
          <w:rFonts w:ascii="Cambria" w:hAnsi="Cambria"/>
        </w:rPr>
        <w:fldChar w:fldCharType="end"/>
      </w:r>
    </w:p>
  </w:footnote>
  <w:footnote w:id="15">
    <w:p w14:paraId="1FAA5AA7" w14:textId="77777777" w:rsidR="006E6940" w:rsidRPr="008D6943" w:rsidRDefault="006E6940" w:rsidP="006E6940">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lang w:val="id-ID"/>
        </w:rPr>
        <w:t xml:space="preserve"> </w:t>
      </w:r>
      <w:r w:rsidRPr="008D6943">
        <w:rPr>
          <w:rFonts w:ascii="Cambria" w:hAnsi="Cambria"/>
        </w:rPr>
        <w:fldChar w:fldCharType="begin" w:fldLock="1"/>
      </w:r>
      <w:r w:rsidRPr="008D6943">
        <w:rPr>
          <w:rFonts w:ascii="Cambria" w:hAnsi="Cambria"/>
          <w:lang w:val="id-ID"/>
        </w:rPr>
        <w:instrText>ADDIN CSL_CITATION {"citationItems":[{"id":"ITEM-1","itemData":{"DOI":"10.14421/qh.2022.2301-03","ISSN":"25484737","abstract":"This article examines Michel Cuyper’s interpretation of the Qur’an which is the result of the application of Semitic Rhetorical Analysis (SRA) in QS. Al-Mā’idah. Although SRA’s implementation has demonstrated the coherence of the Qur’anic text; however, no one has properly articulated the cohesiveness of the Qur’anic text as the basis of that coherence. Thus, to ascertain the text’s cohesiveness in terms of positions and forms from the SRA’s perspective, this study applied cohesion text theories to Cuypers’ implementation of SRA in QS. Al-Mā’idah. A thesis of the paper is that, according to SRA, the cohesiveness of a qur’anic text in QS Al-Mā’idah can be shown through the pairings of words or sentences inside particular groupings of text particles following the principles of Semitic Rhetoric. The Semitic Rhetoric’s principle of parallel, concentric, or mirror symmetry in those text particle groups determined which words or phrases are paired in a text particle group. As a result, from an SRA perspective, the Qur’anic text’s cohesiveness may be discovered at each level of the text particle group, demonstrating multi-layered cohesiveness. In Cuypers’ reading of QS Al-Mā’idah, synonyms and repetition are used to maintain lexical cohesion, while ellipsis, substitution, and reference established grammatical cohesion.","author":[{"dropping-particle":"","family":"Asnawi","given":"Aqdi Rofiq","non-dropping-particle":"","parse-names":false,"suffix":""},{"dropping-particle":"","family":"Aziz","given":"Husein","non-dropping-particle":"","parse-names":false,"suffix":""},{"dropping-particle":"","family":"Haris","given":"Achmad Murtafi","non-dropping-particle":"","parse-names":false,"suffix":""}],"container-title":"Jurnal Studi Ilmu-ilmu al-Qur'an dan Hadis","id":"ITEM-1","issue":"1","issued":{"date-parts":[["2022"]]},"title":"Investigating Cohesiveness of QS. Al-Mā’idah: A Review on Michel Cuypers Implementation of Semitic Rhetorical Analysis (SRA)","type":"article-journal","volume":"23"},"locator":"63","uris":["http://www.mendeley.com/documents/?uuid=85dafacd-e4b1-308e-9dce-4b8da195356f"]}],"mendeley":{"formattedCitation":"Aqdi Rofiq Asnawi, Husein Aziz, dan Achmad Murtafi Haris, “Investigating Cohesiveness of QS. Al-Mā’idah: A Review on Michel Cuypers Implementation of Semitic Rhetorical Analysis (SRA),” &lt;i&gt;Jurnal Studi Ilmu-ilmu al-Qur’an dan Hadis&lt;/i&gt; 23, no. 1 (2022): 63, https://doi.org/10.14421/qh.2022.2301-03.","plainTextFormattedCitation":"Aqdi Rofiq Asnawi, Husein Aziz, dan Achmad Murtafi Haris, “Investigating Cohesiveness of QS. Al-Mā’idah: A Review on Michel Cuypers Implementation of Semitic Rhetorical Analysis (SRA),” Jurnal Studi Ilmu-ilmu al-Qur’an dan Hadis 23, no. 1 (2022): 63, https://doi.org/10.14421/qh.2022.2301-03.","previouslyFormattedCitation":"Aqdi Rofiq Asnawi, Husein Aziz, dan Achmad Murtafi Haris, “Investigating Cohesiveness of QS. Al-Mā’idah: A Review on Michel Cuypers Implementation of Semitic Rhetorical Analysis (SRA),” &lt;i&gt;Jurnal Studi Ilmu-ilmu al-Qur’an dan Hadis&lt;/i&gt; 23, no. 1 (2022): 63, https://doi.org/10.14421/qh.2022.2301-03."},"properties":{"noteIndex":15},"schema":"https://github.com/citation-style-language/schema/raw/master/csl-citation.json"}</w:instrText>
      </w:r>
      <w:r w:rsidRPr="008D6943">
        <w:rPr>
          <w:rFonts w:ascii="Cambria" w:hAnsi="Cambria"/>
        </w:rPr>
        <w:fldChar w:fldCharType="separate"/>
      </w:r>
      <w:r w:rsidRPr="008D6943">
        <w:rPr>
          <w:rFonts w:ascii="Cambria" w:hAnsi="Cambria"/>
          <w:noProof/>
          <w:lang w:val="id-ID"/>
        </w:rPr>
        <w:t xml:space="preserve">Aqdi Rofiq Asnawi, Husein Aziz, dan Achmad Murtafi Haris, “Investigating Cohesiveness of QS. </w:t>
      </w:r>
      <w:r w:rsidRPr="008D6943">
        <w:rPr>
          <w:rFonts w:ascii="Cambria" w:hAnsi="Cambria"/>
          <w:noProof/>
        </w:rPr>
        <w:t xml:space="preserve">Al-Mā’idah: A Review on Michel Cuypers Implementation of Semitic Rhetorical Analysis (SRA),” </w:t>
      </w:r>
      <w:r w:rsidRPr="008D6943">
        <w:rPr>
          <w:rFonts w:ascii="Cambria" w:hAnsi="Cambria"/>
          <w:i/>
          <w:noProof/>
        </w:rPr>
        <w:t>Jurnal Studi Ilmu-ilmu al-Qur’an dan Hadis</w:t>
      </w:r>
      <w:r w:rsidRPr="008D6943">
        <w:rPr>
          <w:rFonts w:ascii="Cambria" w:hAnsi="Cambria"/>
          <w:noProof/>
        </w:rPr>
        <w:t xml:space="preserve"> 23, no. 1 (2022): 63, https://doi.org/10.14421/qh.2022.2301-03.</w:t>
      </w:r>
      <w:r w:rsidRPr="008D6943">
        <w:rPr>
          <w:rFonts w:ascii="Cambria" w:hAnsi="Cambria"/>
        </w:rPr>
        <w:fldChar w:fldCharType="end"/>
      </w:r>
    </w:p>
  </w:footnote>
  <w:footnote w:id="16">
    <w:p w14:paraId="527F57C8" w14:textId="53DBEC8A" w:rsidR="006E6940" w:rsidRPr="008D6943" w:rsidRDefault="006E6940" w:rsidP="006E6940">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lang w:val="id-ID"/>
        </w:rPr>
        <w:t xml:space="preserve"> </w:t>
      </w:r>
      <w:r w:rsidRPr="008D6943">
        <w:rPr>
          <w:rFonts w:ascii="Cambria" w:hAnsi="Cambria"/>
        </w:rPr>
        <w:fldChar w:fldCharType="begin" w:fldLock="1"/>
      </w:r>
      <w:r w:rsidR="00045EE2">
        <w:rPr>
          <w:rFonts w:ascii="Cambria" w:hAnsi="Cambria"/>
          <w:lang w:val="id-ID"/>
        </w:rPr>
        <w:instrText>ADDIN CSL_CITATION {"citationItems":[{"id":"ITEM-1","itemData":{"DOI":"10.1093/oso/9780199928958.001.0001","ISBN":"9780199928958","author":[{"dropping-particle":"","family":"Neuwirth","given":"Angelika","non-dropping-particle":"","parse-names":false,"suffix":""}],"id":"ITEM-1","issued":{"date-parts":[["2019","3","28"]]},"publisher":"Oxford University Press","publisher-place":"New York","title":"The Qur'an and Late Antiquity, translated by Samuel Wilder","type":"book"},"locator":"6","prefix":"This can be seen from Neuwirth's chronology of the Qur'anic surahs, which does not use sabab al-nuzul as a chronological benchmark.","uris":["http://www.mendeley.com/documents/?uuid=ed4eb5e6-fcc9-4b53-bd1b-8e46b3d43260"]},{"id":"ITEM-2","itemData":{"DOI":"https://doi.org/10.12730/13091719.2019.101","author":[{"dropping-particle":"","family":"Reynolds","given":"Gabriel Said","non-dropping-particle":"","parse-names":false,"suffix":""}],"id":"ITEM-2","issued":{"date-parts":[["2018"]]},"publisher":"Yale University Press","publisher-place":"New Haven","title":"The Qur'an and the Bible (Text and Commentary)","type":"book"},"locator":"4-5","prefix":"Reynolds does not accept the concept of makkiyah-madaniyah because the database on which it is built is the hadith, which he considers to have authenticity problems.","uris":["http://www.mendeley.com/documents/?uuid=3f928ac5-bb6e-4c7c-8cbc-ead9976988ab"]}],"mendeley":{"formattedCitation":"This can be seen from Neuwirth’s chronology of the Qur’anic surahs, which does not use sabab al-nuzul as a chronological benchmark. Angelika Neuwirth, &lt;i&gt;The Qur’an and Late Antiquity, translated by Samuel Wilder&lt;/i&gt; (New York: Oxford University Press, 2019), 6, https://doi.org/10.1093/oso/9780199928958.001.0001; Reynolds does not accept the concept of makkiyah-madaniyah because the database on which it is built is the hadith, which he considers to have authenticity problems. Reynolds, &lt;i&gt;The Qur’an and the Bible (Text and Commentary)&lt;/i&gt;, 4–5.","plainTextFormattedCitation":"This can be seen from Neuwirth’s chronology of the Qur’anic surahs, which does not use sabab al-nuzul as a chronological benchmark. Angelika Neuwirth, The Qur’an and Late Antiquity, translated by Samuel Wilder (New York: Oxford University Press, 2019), 6, https://doi.org/10.1093/oso/9780199928958.001.0001; Reynolds does not accept the concept of makkiyah-madaniyah because the database on which it is built is the hadith, which he considers to have authenticity problems. Reynolds, The Qur’an and the Bible (Text and Commentary), 4–5.","previouslyFormattedCitation":"This can be seen from Neuwirth’s chronology of the Qur’anic surahs, which does not use sabab al-nuzul as a chronological benchmark. Angelika Neuwirth, &lt;i&gt;The Qur’an and Late Antiquity, translated by Samuel Wilder&lt;/i&gt; (New York: Oxford University Press, 2019), 6, https://doi.org/10.1093/oso/9780199928958.001.0001; Reynolds does not accept the concept of makkiyah-madaniyah because the database on which it is built is the hadith, which he considers to have authenticity problems. Reynolds, &lt;i&gt;The Qur’an and the Bible (Text and Commentary)&lt;/i&gt;, 4–5."},"properties":{"noteIndex":16},"schema":"https://github.com/citation-style-language/schema/raw/master/csl-citation.json"}</w:instrText>
      </w:r>
      <w:r w:rsidRPr="008D6943">
        <w:rPr>
          <w:rFonts w:ascii="Cambria" w:hAnsi="Cambria"/>
        </w:rPr>
        <w:fldChar w:fldCharType="separate"/>
      </w:r>
      <w:r w:rsidR="00045EE2" w:rsidRPr="00045EE2">
        <w:rPr>
          <w:rFonts w:ascii="Cambria" w:hAnsi="Cambria"/>
          <w:noProof/>
          <w:lang w:val="id-ID"/>
        </w:rPr>
        <w:t xml:space="preserve">This can be seen from Neuwirth’s chronology of the Qur’anic surahs, which does not use sabab al-nuzul as a chronological benchmark. Angelika Neuwirth, </w:t>
      </w:r>
      <w:r w:rsidR="00045EE2" w:rsidRPr="00045EE2">
        <w:rPr>
          <w:rFonts w:ascii="Cambria" w:hAnsi="Cambria"/>
          <w:i/>
          <w:noProof/>
          <w:lang w:val="id-ID"/>
        </w:rPr>
        <w:t>The Qur’an and Late Antiquity, translated by Samuel Wilder</w:t>
      </w:r>
      <w:r w:rsidR="00045EE2" w:rsidRPr="00045EE2">
        <w:rPr>
          <w:rFonts w:ascii="Cambria" w:hAnsi="Cambria"/>
          <w:noProof/>
          <w:lang w:val="id-ID"/>
        </w:rPr>
        <w:t xml:space="preserve"> (New York: Oxford University Press, 2019), 6, https://doi.org/10.1093/oso/9780199928958.001.0001; Reynolds does not accept the concept of makkiyah-madaniyah because the database on which it is built is the hadith, which he considers to have authenticity problems. Reynolds, </w:t>
      </w:r>
      <w:r w:rsidR="00045EE2" w:rsidRPr="00045EE2">
        <w:rPr>
          <w:rFonts w:ascii="Cambria" w:hAnsi="Cambria"/>
          <w:i/>
          <w:noProof/>
          <w:lang w:val="id-ID"/>
        </w:rPr>
        <w:t>The Qur’an and the Bible (Text and Commentary)</w:t>
      </w:r>
      <w:r w:rsidR="00045EE2" w:rsidRPr="00045EE2">
        <w:rPr>
          <w:rFonts w:ascii="Cambria" w:hAnsi="Cambria"/>
          <w:noProof/>
          <w:lang w:val="id-ID"/>
        </w:rPr>
        <w:t>, 4–5.</w:t>
      </w:r>
      <w:r w:rsidRPr="008D6943">
        <w:rPr>
          <w:rFonts w:ascii="Cambria" w:hAnsi="Cambria"/>
        </w:rPr>
        <w:fldChar w:fldCharType="end"/>
      </w:r>
    </w:p>
  </w:footnote>
  <w:footnote w:id="17">
    <w:p w14:paraId="0C6CBEAF" w14:textId="77777777" w:rsidR="006E6940" w:rsidRPr="008D6943" w:rsidRDefault="006E6940" w:rsidP="006E6940">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Pr="008D6943">
        <w:rPr>
          <w:rFonts w:ascii="Cambria" w:hAnsi="Cambria"/>
        </w:rPr>
        <w:instrText>ADDIN CSL_CITATION {"citationItems":[{"id":"ITEM-1","itemData":{"DOI":"10.14421/qh.2017.1801-06","ISSN":"1411-6855","abstract":"Kajian yang dilakukan oleh Barat memang unik. Seperti yang dilakukanoleh para orientalis pengkaji al-Quran dan Hadis, semisal Goldziher,Watt Smith, dan lainnya. Mereka melakukan riset dan memahami alQuran dan hadis tanpa adanya (meng)iman(i) di hatinya. Bahkan skeptikyang dihasilkan. Melalui kajian yang dilakukan oleh Alasdair MacIntyre,pembaca dapat memahami, mengapa para orientalis ini tidak mamputertembus hidayah meskipun telah membolak-balik pesan al-Qurandan Hadis. Kajian MacIntyre ini dimulai dari bahasan para antropologdalam mengkaji ritual, kepercayaan, dan agama-agama, dengan mencobamengeksplorasi makna understand, believe, intelligible, dan skepticism.","author":[{"dropping-particle":"","family":"Zuhri","given":"Saifuddin","non-dropping-particle":"","parse-names":false,"suffix":""}],"container-title":"Jurnal Studi Ilmu-ilmu Al-Qur'an dan Hadis","id":"ITEM-1","issue":"1","issued":{"date-parts":[["2018","5","28"]]},"page":"105","publisher":"Al-Jamiah Research Centre","title":"Memahami Para Orientalis Dalam Mengkaii al-Quran dan Hadis: Perbedaan Memahami dan Mengimani Menurut Alasdair Macintyre","type":"article-journal","volume":"18"},"locator":"116","uris":["http://www.mendeley.com/documents/?uuid=e0fce3de-826f-3948-bd4e-a058c73662ea"]}],"mendeley":{"formattedCitation":"Saifuddin Zuhri, “Memahami Para Orientalis Dalam Mengkaii al-Quran dan Hadis: Perbedaan Memahami dan Mengimani Menurut Alasdair Macintyre,” &lt;i&gt;Jurnal Studi Ilmu-ilmu Al-Qur’an dan Hadis&lt;/i&gt; 18, no. 1 (28 Mei 2018): 116, https://doi.org/10.14421/qh.2017.1801-06.","plainTextFormattedCitation":"Saifuddin Zuhri, “Memahami Para Orientalis Dalam Mengkaii al-Quran dan Hadis: Perbedaan Memahami dan Mengimani Menurut Alasdair Macintyre,” Jurnal Studi Ilmu-ilmu Al-Qur’an dan Hadis 18, no. 1 (28 Mei 2018): 116, https://doi.org/10.14421/qh.2017.1801-06.","previouslyFormattedCitation":"Saifuddin Zuhri, “Memahami Para Orientalis Dalam Mengkaii al-Quran dan Hadis: Perbedaan Memahami dan Mengimani Menurut Alasdair Macintyre,” &lt;i&gt;Jurnal Studi Ilmu-ilmu Al-Qur’an dan Hadis&lt;/i&gt; 18, no. 1 (28 Mei 2018): 116, https://doi.org/10.14421/qh.2017.1801-06."},"properties":{"noteIndex":17},"schema":"https://github.com/citation-style-language/schema/raw/master/csl-citation.json"}</w:instrText>
      </w:r>
      <w:r w:rsidRPr="008D6943">
        <w:rPr>
          <w:rFonts w:ascii="Cambria" w:hAnsi="Cambria"/>
        </w:rPr>
        <w:fldChar w:fldCharType="separate"/>
      </w:r>
      <w:r w:rsidRPr="008D6943">
        <w:rPr>
          <w:rFonts w:ascii="Cambria" w:hAnsi="Cambria"/>
          <w:noProof/>
        </w:rPr>
        <w:t xml:space="preserve">Saifuddin Zuhri, “Memahami Para Orientalis Dalam Mengkaii al-Quran dan Hadis: Perbedaan Memahami dan Mengimani Menurut Alasdair Macintyre,” </w:t>
      </w:r>
      <w:r w:rsidRPr="008D6943">
        <w:rPr>
          <w:rFonts w:ascii="Cambria" w:hAnsi="Cambria"/>
          <w:i/>
          <w:noProof/>
        </w:rPr>
        <w:t>Jurnal Studi Ilmu-ilmu Al-Qur’an dan Hadis</w:t>
      </w:r>
      <w:r w:rsidRPr="008D6943">
        <w:rPr>
          <w:rFonts w:ascii="Cambria" w:hAnsi="Cambria"/>
          <w:noProof/>
        </w:rPr>
        <w:t xml:space="preserve"> 18, no. 1 (28 Mei 2018): 116, https://doi.org/10.14421/qh.2017.1801-06.</w:t>
      </w:r>
      <w:r w:rsidRPr="008D6943">
        <w:rPr>
          <w:rFonts w:ascii="Cambria" w:hAnsi="Cambria"/>
        </w:rPr>
        <w:fldChar w:fldCharType="end"/>
      </w:r>
    </w:p>
  </w:footnote>
  <w:footnote w:id="18">
    <w:p w14:paraId="2E905EF6" w14:textId="77777777" w:rsidR="006E6940" w:rsidRPr="008D6943" w:rsidRDefault="006E6940" w:rsidP="006E6940">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Pr="008D6943">
        <w:rPr>
          <w:rFonts w:ascii="Cambria" w:hAnsi="Cambria"/>
        </w:rPr>
        <w:instrText>ADDIN CSL_CITATION {"citationItems":[{"id":"ITEM-1","itemData":{"DOI":"10.32505/al-bukhari.v3i1.1468","ISSN":"2621-3559","abstract":"This paper focuses on maping hadiths studies which has been done by orientalists according to Harald Motzki. So far, the maping is always seen based on an assuption which results three sections namely sceptic, non-sceptic, and middle ground. Unlike prior studies, Motzki tries to divide hadiths studies in the West based on the method they use Based on it, it is obtained a conclusion that hadiths studies in the West are not stagnant and similiar. On the contrary, it undergoes a progress time by the time. Based on the method employed to examine the authenticity of hadiths. The study of hadith in the West can be classified into four divisions. First, is matan which was introduced by Ignaz Goldziher, Josep Schacht, and Marston Speight. Second, is dating based on collections of hadis books with Josep Schacht as a initiator. Third, is dating by isnad which was started by Josep Schacht and Juynboll. Fourth, is isnad-cum-matan which was embarked by Harald Motzki.","author":[{"dropping-particle":"","family":"Ulummudin","given":"","non-dropping-particle":"","parse-names":false,"suffix":""}],"container-title":"Al-Bukhari : Jurnal Ilmu Hadis","id":"ITEM-1","issue":"1","issued":{"date-parts":[["2020","6","11"]]},"page":"86-104","publisher":"IAIN Langsa","title":"PEMETAAN PENELITIAN ORIENTALIS TERHADAP HADIS MENURUT HARALD MOTZI","type":"article-journal","volume":"3"},"locator":"91","uris":["http://www.mendeley.com/documents/?uuid=2c1b1d06-d21c-3369-8411-ed284c372686"]}],"mendeley":{"formattedCitation":"Ulummudin, “PEMETAAN PENELITIAN ORIENTALIS TERHADAP HADIS MENURUT HARALD MOTZI,” &lt;i&gt;Al-Bukhari : Jurnal Ilmu Hadis&lt;/i&gt; 3, no. 1 (11 Juni 2020): 91, https://doi.org/10.32505/al-bukhari.v3i1.1468.","plainTextFormattedCitation":"Ulummudin, “PEMETAAN PENELITIAN ORIENTALIS TERHADAP HADIS MENURUT HARALD MOTZI,” Al-Bukhari : Jurnal Ilmu Hadis 3, no. 1 (11 Juni 2020): 91, https://doi.org/10.32505/al-bukhari.v3i1.1468.","previouslyFormattedCitation":"Ulummudin, “PEMETAAN PENELITIAN ORIENTALIS TERHADAP HADIS MENURUT HARALD MOTZI,” &lt;i&gt;Al-Bukhari : Jurnal Ilmu Hadis&lt;/i&gt; 3, no. 1 (11 Juni 2020): 91, https://doi.org/10.32505/al-bukhari.v3i1.1468."},"properties":{"noteIndex":18},"schema":"https://github.com/citation-style-language/schema/raw/master/csl-citation.json"}</w:instrText>
      </w:r>
      <w:r w:rsidRPr="008D6943">
        <w:rPr>
          <w:rFonts w:ascii="Cambria" w:hAnsi="Cambria"/>
        </w:rPr>
        <w:fldChar w:fldCharType="separate"/>
      </w:r>
      <w:r w:rsidRPr="008D6943">
        <w:rPr>
          <w:rFonts w:ascii="Cambria" w:hAnsi="Cambria"/>
          <w:noProof/>
        </w:rPr>
        <w:t xml:space="preserve">Ulummudin, “PEMETAAN PENELITIAN ORIENTALIS TERHADAP HADIS MENURUT HARALD MOTZI,” </w:t>
      </w:r>
      <w:r w:rsidRPr="008D6943">
        <w:rPr>
          <w:rFonts w:ascii="Cambria" w:hAnsi="Cambria"/>
          <w:i/>
          <w:noProof/>
        </w:rPr>
        <w:t>Al-Bukhari : Jurnal Ilmu Hadis</w:t>
      </w:r>
      <w:r w:rsidRPr="008D6943">
        <w:rPr>
          <w:rFonts w:ascii="Cambria" w:hAnsi="Cambria"/>
          <w:noProof/>
        </w:rPr>
        <w:t xml:space="preserve"> 3, no. 1 (11 Juni 2020): 91, https://doi.org/10.32505/al-bukhari.v3i1.1468.</w:t>
      </w:r>
      <w:r w:rsidRPr="008D6943">
        <w:rPr>
          <w:rFonts w:ascii="Cambria" w:hAnsi="Cambria"/>
        </w:rPr>
        <w:fldChar w:fldCharType="end"/>
      </w:r>
    </w:p>
  </w:footnote>
  <w:footnote w:id="19">
    <w:p w14:paraId="2944FAE0" w14:textId="121B37F5" w:rsidR="006B6CF6" w:rsidRPr="008D6943" w:rsidRDefault="006B6CF6" w:rsidP="006B6CF6">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00045EE2">
        <w:rPr>
          <w:rFonts w:ascii="Cambria" w:hAnsi="Cambria"/>
        </w:rPr>
        <w:instrText>ADDIN CSL_CITATION {"citationItems":[{"id":"ITEM-1","itemData":{"ISBN":"978-1-4522-5787-7","author":[{"dropping-particle":"","family":"Miles","given":"Matthew B.","non-dropping-particle":"","parse-names":false,"suffix":""},{"dropping-particle":"","family":"Huberman","given":"A. Michael","non-dropping-particle":"","parse-names":false,"suffix":""},{"dropping-particle":"","family":"Sardana","given":"Johnny","non-dropping-particle":"","parse-names":false,"suffix":""}],"edition":"3","id":"ITEM-1","issued":{"date-parts":[["2014"]]},"publisher":"SAGE Publication","publisher-place":"Washington","title":"Qualitative Data Analysis: A Methods Sourcebook","type":"book"},"locator":"37-38","prefix":"The theoretical framework functions to determine what is discussed and not discussed. ","uris":["http://www.mendeley.com/documents/?uuid=ee02958f-a0bc-4dc1-bf73-83e3eab55198"]}],"mendeley":{"formattedCitation":"The theoretical framework functions to determine what is discussed and not discussed. Matthew B. Miles, A. Michael Huberman, dan Johnny Sardana, &lt;i&gt;Qualitative Data Analysis: A Methods Sourcebook&lt;/i&gt;, 3 ed. (Washington: SAGE Publication, 2014), 37–38.","plainTextFormattedCitation":"The theoretical framework functions to determine what is discussed and not discussed. Matthew B. Miles, A. Michael Huberman, dan Johnny Sardana, Qualitative Data Analysis: A Methods Sourcebook, 3 ed. (Washington: SAGE Publication, 2014), 37–38.","previouslyFormattedCitation":"The theoretical framework functions to determine what is discussed and not discussed. Matthew B. Miles, A. Michael Huberman, dan Johnny Sardana, &lt;i&gt;Qualitative Data Analysis: A Methods Sourcebook&lt;/i&gt;, 3 ed. (Washington: SAGE Publication, 2014), 37–38."},"properties":{"noteIndex":19},"schema":"https://github.com/citation-style-language/schema/raw/master/csl-citation.json"}</w:instrText>
      </w:r>
      <w:r w:rsidRPr="008D6943">
        <w:rPr>
          <w:rFonts w:ascii="Cambria" w:hAnsi="Cambria"/>
        </w:rPr>
        <w:fldChar w:fldCharType="separate"/>
      </w:r>
      <w:r w:rsidRPr="006B6CF6">
        <w:rPr>
          <w:rFonts w:ascii="Cambria" w:hAnsi="Cambria"/>
          <w:noProof/>
        </w:rPr>
        <w:t xml:space="preserve">The theoretical framework functions to determine what is discussed and not discussed. Matthew B. Miles, A. Michael Huberman, dan Johnny Sardana, </w:t>
      </w:r>
      <w:r w:rsidRPr="006B6CF6">
        <w:rPr>
          <w:rFonts w:ascii="Cambria" w:hAnsi="Cambria"/>
          <w:i/>
          <w:noProof/>
        </w:rPr>
        <w:t>Qualitative Data Analysis: A Methods Sourcebook</w:t>
      </w:r>
      <w:r w:rsidRPr="006B6CF6">
        <w:rPr>
          <w:rFonts w:ascii="Cambria" w:hAnsi="Cambria"/>
          <w:noProof/>
        </w:rPr>
        <w:t>, 3 ed. (Washington: SAGE Publication, 2014), 37–38.</w:t>
      </w:r>
      <w:r w:rsidRPr="008D6943">
        <w:rPr>
          <w:rFonts w:ascii="Cambria" w:hAnsi="Cambria"/>
        </w:rPr>
        <w:fldChar w:fldCharType="end"/>
      </w:r>
    </w:p>
  </w:footnote>
  <w:footnote w:id="20">
    <w:p w14:paraId="406E3109" w14:textId="77777777" w:rsidR="00B45FC8" w:rsidRPr="008D6943" w:rsidRDefault="00B45FC8" w:rsidP="00B45FC8">
      <w:pPr>
        <w:pStyle w:val="TeksCatatanKaki"/>
        <w:jc w:val="both"/>
        <w:rPr>
          <w:rFonts w:ascii="Cambria" w:hAnsi="Cambria"/>
          <w:lang w:val="id-ID"/>
        </w:rPr>
      </w:pPr>
      <w:r w:rsidRPr="008D6943">
        <w:rPr>
          <w:rStyle w:val="ReferensiCatatanKaki"/>
          <w:rFonts w:ascii="Cambria" w:hAnsi="Cambria"/>
        </w:rPr>
        <w:footnoteRef/>
      </w:r>
      <w:r w:rsidRPr="00B45FC8">
        <w:rPr>
          <w:rFonts w:ascii="Cambria" w:hAnsi="Cambria"/>
          <w:lang w:val="id-ID"/>
        </w:rPr>
        <w:t xml:space="preserve"> </w:t>
      </w:r>
      <w:r w:rsidRPr="008D6943">
        <w:rPr>
          <w:rFonts w:ascii="Cambria" w:hAnsi="Cambria"/>
        </w:rPr>
        <w:fldChar w:fldCharType="begin" w:fldLock="1"/>
      </w:r>
      <w:r w:rsidRPr="00B45FC8">
        <w:rPr>
          <w:rFonts w:ascii="Cambria" w:hAnsi="Cambria"/>
          <w:lang w:val="id-ID"/>
        </w:rPr>
        <w:instrText>ADDIN CSL_CITATION {"citationItems":[{"id":"ITEM-1","itemData":{"ISBN":"978-1-4522-5787-7","author":[{"dropping-particle":"","family":"Miles","given":"Matthew B.","non-dropping-particle":"","parse-names":false,"suffix":""},{"dropping-particle":"","family":"Huberman","given":"A. Michael","non-dropping-particle":"","parse-names":false,"suffix":""},{"dropping-particle":"","family":"Sardana","given":"Johnny","non-dropping-particle":"","parse-names":false,"suffix":""}],"edition":"3","id":"ITEM-1","issued":{"date-parts":[["2014"]]},"publisher":"SAGE Publication","publisher-place":"Washington","title":"Qualitative Data Analysis: A Methods Sourcebook","type":"book"},"locator":"44","uris":["http://www.mendeley.com/documents/?uuid=ee02958f-a0bc-4dc1-bf73-83e3eab55198"]}],"mendeley":{"formattedCitation":"Miles, Huberman, dan Sardana, 44.","plainTextFormattedCitation":"Miles, Huberman, dan Sardana, 44.","previouslyFormattedCitation":"Miles, Huberman, dan Sardana, 44."},"properties":{"noteIndex":20},"schema":"https://github.com/citation-style-language/schema/raw/master/csl-citation.json"}</w:instrText>
      </w:r>
      <w:r w:rsidRPr="008D6943">
        <w:rPr>
          <w:rFonts w:ascii="Cambria" w:hAnsi="Cambria"/>
        </w:rPr>
        <w:fldChar w:fldCharType="separate"/>
      </w:r>
      <w:r w:rsidRPr="00B45FC8">
        <w:rPr>
          <w:rFonts w:ascii="Cambria" w:hAnsi="Cambria"/>
          <w:noProof/>
          <w:lang w:val="id-ID"/>
        </w:rPr>
        <w:t>Miles, Huberman, dan Sardana, 44.</w:t>
      </w:r>
      <w:r w:rsidRPr="008D6943">
        <w:rPr>
          <w:rFonts w:ascii="Cambria" w:hAnsi="Cambria"/>
        </w:rPr>
        <w:fldChar w:fldCharType="end"/>
      </w:r>
    </w:p>
  </w:footnote>
  <w:footnote w:id="21">
    <w:p w14:paraId="07619295" w14:textId="160853E1" w:rsidR="00B45FC8" w:rsidRPr="008D6943" w:rsidRDefault="00B45FC8" w:rsidP="00B45FC8">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007B05D6">
        <w:rPr>
          <w:rFonts w:ascii="Cambria" w:hAnsi="Cambria"/>
        </w:rPr>
        <w:instrText>ADDIN CSL_CITATION {"citationItems":[{"id":"ITEM-1","itemData":{"ISBN":"978-1-4522-5787-7","author":[{"dropping-particle":"","family":"Miles","given":"Matthew B.","non-dropping-particle":"","parse-names":false,"suffix":""},{"dropping-particle":"","family":"Huberman","given":"A. Michael","non-dropping-particle":"","parse-names":false,"suffix":""},{"dropping-particle":"","family":"Sardana","given":"Johnny","non-dropping-particle":"","parse-names":false,"suffix":""}],"edition":"3","id":"ITEM-1","issued":{"date-parts":[["2014"]]},"publisher":"SAGE Publication","publisher-place":"Washington","title":"Qualitative Data Analysis: A Methods Sourcebook","type":"book"},"locator":"41-42","prefix":"According to Miles and Hubreman, the theoretical framework can be used as a means to formulate questions.","uris":["http://www.mendeley.com/documents/?uuid=ee02958f-a0bc-4dc1-bf73-83e3eab55198"]}],"mendeley":{"formattedCitation":"According to Miles and Hubreman, the theoretical framework can be used as a means to formulate questions. Miles, Huberman, dan Sardana, 41–42.","plainTextFormattedCitation":"According to Miles and Hubreman, the theoretical framework can be used as a means to formulate questions. Miles, Huberman, dan Sardana, 41–42.","previouslyFormattedCitation":"According to Miles and Hubreman, the theoretical framework can be used as a means to formulate questions. Miles, Huberman, dan Sardana, 41–42."},"properties":{"noteIndex":21},"schema":"https://github.com/citation-style-language/schema/raw/master/csl-citation.json"}</w:instrText>
      </w:r>
      <w:r w:rsidRPr="008D6943">
        <w:rPr>
          <w:rFonts w:ascii="Cambria" w:hAnsi="Cambria"/>
        </w:rPr>
        <w:fldChar w:fldCharType="separate"/>
      </w:r>
      <w:r w:rsidR="00045EE2" w:rsidRPr="00045EE2">
        <w:rPr>
          <w:rFonts w:ascii="Cambria" w:hAnsi="Cambria"/>
          <w:noProof/>
        </w:rPr>
        <w:t>According to Miles and Hubreman, the theoretical framework can be used as a means to formulate questions. Miles, Huberman, dan Sardana, 41–42.</w:t>
      </w:r>
      <w:r w:rsidRPr="008D6943">
        <w:rPr>
          <w:rFonts w:ascii="Cambria" w:hAnsi="Cambria"/>
        </w:rPr>
        <w:fldChar w:fldCharType="end"/>
      </w:r>
    </w:p>
  </w:footnote>
  <w:footnote w:id="22">
    <w:p w14:paraId="441DF8B7" w14:textId="35B14F18" w:rsidR="00B45FC8" w:rsidRPr="008D6943" w:rsidRDefault="00B45FC8" w:rsidP="00B45FC8">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007B05D6">
        <w:rPr>
          <w:rFonts w:ascii="Cambria" w:hAnsi="Cambria"/>
        </w:rPr>
        <w:instrText>ADDIN CSL_CITATION {"citationItems":[{"id":"ITEM-1","itemData":{"ISBN":"978-1-4522-5787-7","author":[{"dropping-particle":"","family":"Miles","given":"Matthew B.","non-dropping-particle":"","parse-names":false,"suffix":""},{"dropping-particle":"","family":"Huberman","given":"A. Michael","non-dropping-particle":"","parse-names":false,"suffix":""},{"dropping-particle":"","family":"Sardana","given":"Johnny","non-dropping-particle":"","parse-names":false,"suffix":""}],"edition":"3","id":"ITEM-1","issued":{"date-parts":[["2014"]]},"publisher":"SAGE Publication","publisher-place":"Washington","title":"Qualitative Data Analysis: A Methods Sourcebook","type":"book"},"locator":"105","prefix":"This stage includes methods by describing, ordering, and explaining.","uris":["http://www.mendeley.com/documents/?uuid=ee02958f-a0bc-4dc1-bf73-83e3eab55198"]}],"mendeley":{"formattedCitation":"This stage includes methods by describing, ordering, and explaining. Miles, Huberman, dan Sardana, 105.","plainTextFormattedCitation":"This stage includes methods by describing, ordering, and explaining. Miles, Huberman, dan Sardana, 105.","previouslyFormattedCitation":"This stage includes methods by describing, ordering, and explaining. Miles, Huberman, dan Sardana, 105."},"properties":{"noteIndex":22},"schema":"https://github.com/citation-style-language/schema/raw/master/csl-citation.json"}</w:instrText>
      </w:r>
      <w:r w:rsidRPr="008D6943">
        <w:rPr>
          <w:rFonts w:ascii="Cambria" w:hAnsi="Cambria"/>
        </w:rPr>
        <w:fldChar w:fldCharType="separate"/>
      </w:r>
      <w:r w:rsidR="007B05D6" w:rsidRPr="007B05D6">
        <w:rPr>
          <w:rFonts w:ascii="Cambria" w:hAnsi="Cambria"/>
          <w:noProof/>
        </w:rPr>
        <w:t>This stage includes methods by describing, ordering, and explaining. Miles, Huberman, dan Sardana, 105.</w:t>
      </w:r>
      <w:r w:rsidRPr="008D6943">
        <w:rPr>
          <w:rFonts w:ascii="Cambria" w:hAnsi="Cambria"/>
        </w:rPr>
        <w:fldChar w:fldCharType="end"/>
      </w:r>
    </w:p>
  </w:footnote>
  <w:footnote w:id="23">
    <w:p w14:paraId="691A74AE" w14:textId="063B300E" w:rsidR="00B45FC8" w:rsidRPr="008D6943" w:rsidRDefault="00B45FC8" w:rsidP="00B45FC8">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00A721D4">
        <w:rPr>
          <w:rFonts w:ascii="Cambria" w:hAnsi="Cambria"/>
        </w:rPr>
        <w:instrText>ADDIN CSL_CITATION {"citationItems":[{"id":"ITEM-1","itemData":{"ISBN":"978-1-4522-5787-7","author":[{"dropping-particle":"","family":"Miles","given":"Matthew B.","non-dropping-particle":"","parse-names":false,"suffix":""},{"dropping-particle":"","family":"Huberman","given":"A. Michael","non-dropping-particle":"","parse-names":false,"suffix":""},{"dropping-particle":"","family":"Sardana","given":"Johnny","non-dropping-particle":"","parse-names":false,"suffix":""}],"edition":"3","id":"ITEM-1","issued":{"date-parts":[["2014"]]},"publisher":"SAGE Publication","publisher-place":"Washington","title":"Qualitative Data Analysis: A Methods Sourcebook","type":"book"},"locator":"242","prefix":"This stage offers additional analytical tactics to generate meaning from the data and to test or confirm the findings.","uris":["http://www.mendeley.com/documents/?uuid=ee02958f-a0bc-4dc1-bf73-83e3eab55198"]}],"mendeley":{"formattedCitation":"This stage offers additional analytical tactics to generate meaning from the data and to test or confirm the findings. Miles, Huberman, dan Sardana, 242.","plainTextFormattedCitation":"This stage offers additional analytical tactics to generate meaning from the data and to test or confirm the findings. Miles, Huberman, dan Sardana, 242.","previouslyFormattedCitation":"This stage offers additional analytical tactics to generate meaning from the data and to test or confirm the findings. Miles, Huberman, dan Sardana, 242."},"properties":{"noteIndex":23},"schema":"https://github.com/citation-style-language/schema/raw/master/csl-citation.json"}</w:instrText>
      </w:r>
      <w:r w:rsidRPr="008D6943">
        <w:rPr>
          <w:rFonts w:ascii="Cambria" w:hAnsi="Cambria"/>
        </w:rPr>
        <w:fldChar w:fldCharType="separate"/>
      </w:r>
      <w:r w:rsidR="007B05D6" w:rsidRPr="007B05D6">
        <w:rPr>
          <w:rFonts w:ascii="Cambria" w:hAnsi="Cambria"/>
          <w:noProof/>
        </w:rPr>
        <w:t>This stage offers additional analytical tactics to generate meaning from the data and to test or confirm the findings. Miles, Huberman, dan Sardana, 242.</w:t>
      </w:r>
      <w:r w:rsidRPr="008D6943">
        <w:rPr>
          <w:rFonts w:ascii="Cambria" w:hAnsi="Cambria"/>
        </w:rPr>
        <w:fldChar w:fldCharType="end"/>
      </w:r>
    </w:p>
  </w:footnote>
  <w:footnote w:id="24">
    <w:p w14:paraId="378E4FC1" w14:textId="77777777" w:rsidR="00B45FC8" w:rsidRPr="008D6943" w:rsidRDefault="00B45FC8" w:rsidP="00B45FC8">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Pr="008D6943">
        <w:rPr>
          <w:rFonts w:ascii="Cambria" w:hAnsi="Cambria"/>
        </w:rPr>
        <w:instrText>ADDIN CSL_CITATION {"citationItems":[{"id":"ITEM-1","itemData":{"author":[{"dropping-particle":"","family":"Al-Razi","given":"Fakhruddin","non-dropping-particle":"","parse-names":false,"suffix":""}],"edition":"cet. III","id":"ITEM-1","issued":{"date-parts":[["2000"]]},"number-of-pages":"343","publisher":"Dar Ihya' al-Turas al-'Araby","publisher-place":"Beirut","title":"Mafatih al-Ghaib","type":"book"},"label":"volume","locator":"12. h. 371","uris":["http://www.mendeley.com/documents/?uuid=baa3b376-47fd-4228-ac34-5d9782b65080"]}],"mendeley":{"formattedCitation":"Fakhruddin Al-Razi, &lt;i&gt;Mafatih al-Ghaib&lt;/i&gt;, cet. III (Beirut: Dar Ihya’ al-Turas al-’Araby, 2000), vol. 12. h. 371.","plainTextFormattedCitation":"Fakhruddin Al-Razi, Mafatih al-Ghaib, cet. III (Beirut: Dar Ihya’ al-Turas al-’Araby, 2000), vol. 12. h. 371.","previouslyFormattedCitation":"Fakhruddin Al-Razi, &lt;i&gt;Mafatih al-Ghaib&lt;/i&gt;, cet. III (Beirut: Dar Ihya’ al-Turas al-’Araby, 2000), vol. 12. h. 371."},"properties":{"noteIndex":24},"schema":"https://github.com/citation-style-language/schema/raw/master/csl-citation.json"}</w:instrText>
      </w:r>
      <w:r w:rsidRPr="008D6943">
        <w:rPr>
          <w:rFonts w:ascii="Cambria" w:hAnsi="Cambria"/>
        </w:rPr>
        <w:fldChar w:fldCharType="separate"/>
      </w:r>
      <w:r w:rsidRPr="008D6943">
        <w:rPr>
          <w:rFonts w:ascii="Cambria" w:hAnsi="Cambria"/>
          <w:noProof/>
        </w:rPr>
        <w:t xml:space="preserve">Fakhruddin Al-Razi, </w:t>
      </w:r>
      <w:r w:rsidRPr="008D6943">
        <w:rPr>
          <w:rFonts w:ascii="Cambria" w:hAnsi="Cambria"/>
          <w:i/>
          <w:noProof/>
        </w:rPr>
        <w:t>Mafatih al-Ghaib</w:t>
      </w:r>
      <w:r w:rsidRPr="008D6943">
        <w:rPr>
          <w:rFonts w:ascii="Cambria" w:hAnsi="Cambria"/>
          <w:noProof/>
        </w:rPr>
        <w:t>, cet. III (Beirut: Dar Ihya’ al-Turas al-’Araby, 2000), vol. 12. h. 371.</w:t>
      </w:r>
      <w:r w:rsidRPr="008D6943">
        <w:rPr>
          <w:rFonts w:ascii="Cambria" w:hAnsi="Cambria"/>
        </w:rPr>
        <w:fldChar w:fldCharType="end"/>
      </w:r>
    </w:p>
  </w:footnote>
  <w:footnote w:id="25">
    <w:p w14:paraId="6770D7D2" w14:textId="40F5D344" w:rsidR="00313D56" w:rsidRDefault="00313D56">
      <w:pPr>
        <w:pStyle w:val="TeksCatatanKaki"/>
      </w:pPr>
      <w:r>
        <w:rPr>
          <w:rStyle w:val="ReferensiCatatanKaki"/>
        </w:rPr>
        <w:footnoteRef/>
      </w:r>
      <w:r>
        <w:t xml:space="preserve"> </w:t>
      </w:r>
      <w:r>
        <w:fldChar w:fldCharType="begin" w:fldLock="1"/>
      </w:r>
      <w:r w:rsidR="00A01FCA">
        <w:instrText>ADDIN CSL_CITATION {"citationItems":[{"id":"ITEM-1","itemData":{"URL":"https://quran.nu.or.id/yunus#94","accessed":{"date-parts":[["2025","2","3"]]},"id":"ITEM-1","issued":{"date-parts":[["0"]]},"title":"Surat Yunus: Arab, Latin dan Terjemah Lengkap | Quran NU Online","type":"webpage"},"uris":["http://www.mendeley.com/documents/?uuid=b2c0d828-7f2d-31a3-bcd0-ac67b16b1f00"]}],"mendeley":{"formattedCitation":"“Surat Yunus: Arab, Latin dan Terjemah Lengkap | Quran NU Online,” diakses 3 Februari 2025, https://quran.nu.or.id/yunus#94.","plainTextFormattedCitation":"“Surat Yunus: Arab, Latin dan Terjemah Lengkap | Quran NU Online,” diakses 3 Februari 2025, https://quran.nu.or.id/yunus#94.","previouslyFormattedCitation":"“Surat Yunus: Arab, Latin dan Terjemah Lengkap | Quran NU Online,” diakses 3 Februari 2025, https://quran.nu.or.id/yunus#94."},"properties":{"noteIndex":25},"schema":"https://github.com/citation-style-language/schema/raw/master/csl-citation.json"}</w:instrText>
      </w:r>
      <w:r>
        <w:fldChar w:fldCharType="separate"/>
      </w:r>
      <w:r w:rsidRPr="00313D56">
        <w:rPr>
          <w:noProof/>
        </w:rPr>
        <w:t>“Surat Yunus: Arab, Latin dan Terjemah Lengkap | Quran NU Online,” diakses 3 Februari 2025, https://quran.nu.or.id/yunus#94.</w:t>
      </w:r>
      <w:r>
        <w:fldChar w:fldCharType="end"/>
      </w:r>
    </w:p>
  </w:footnote>
  <w:footnote w:id="26">
    <w:p w14:paraId="46FCB1CE" w14:textId="77777777" w:rsidR="00313D56" w:rsidRPr="008D6943" w:rsidRDefault="00313D56" w:rsidP="00313D56">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Pr="008D6943">
        <w:rPr>
          <w:rFonts w:ascii="Cambria" w:hAnsi="Cambria"/>
        </w:rPr>
        <w:instrText>ADDIN CSL_CITATION {"citationItems":[{"id":"ITEM-1","itemData":{"author":[{"dropping-particle":"","family":"Al-Żahabi","given":"Muḥammad Husayn","non-dropping-particle":"","parse-names":false,"suffix":""}],"edition":"1","id":"ITEM-1","issued":{"date-parts":[["2014"]]},"publisher":"Maktabah Wahbah","publisher-place":"Kairo","title":"Al-Tafsīr wa Al-Mufassirūn","type":"book","volume":"1"},"locator":"44-45","uris":["http://www.mendeley.com/documents/?uuid=c5e19feb-f5e5-4059-9e46-69bb023773f1"]}],"mendeley":{"formattedCitation":"Al-Żahabi, &lt;i&gt;Al-Tafsīr wa Al-Mufassirūn&lt;/i&gt;, 1:44–45.","plainTextFormattedCitation":"Al-Żahabi, Al-Tafsīr wa Al-Mufassirūn, 1:44–45.","previouslyFormattedCitation":"Al-Żahabi, &lt;i&gt;Al-Tafsīr wa Al-Mufassirūn&lt;/i&gt;, 1:44–45."},"properties":{"noteIndex":26},"schema":"https://github.com/citation-style-language/schema/raw/master/csl-citation.json"}</w:instrText>
      </w:r>
      <w:r w:rsidRPr="008D6943">
        <w:rPr>
          <w:rFonts w:ascii="Cambria" w:hAnsi="Cambria"/>
        </w:rPr>
        <w:fldChar w:fldCharType="separate"/>
      </w:r>
      <w:r w:rsidRPr="008D6943">
        <w:rPr>
          <w:rFonts w:ascii="Cambria" w:hAnsi="Cambria"/>
          <w:noProof/>
        </w:rPr>
        <w:t xml:space="preserve">Al-Żahabi, </w:t>
      </w:r>
      <w:r w:rsidRPr="008D6943">
        <w:rPr>
          <w:rFonts w:ascii="Cambria" w:hAnsi="Cambria"/>
          <w:i/>
          <w:noProof/>
        </w:rPr>
        <w:t>Al-Tafsīr wa Al-Mufassirūn</w:t>
      </w:r>
      <w:r w:rsidRPr="008D6943">
        <w:rPr>
          <w:rFonts w:ascii="Cambria" w:hAnsi="Cambria"/>
          <w:noProof/>
        </w:rPr>
        <w:t>, 1:44–45.</w:t>
      </w:r>
      <w:r w:rsidRPr="008D6943">
        <w:rPr>
          <w:rFonts w:ascii="Cambria" w:hAnsi="Cambria"/>
        </w:rPr>
        <w:fldChar w:fldCharType="end"/>
      </w:r>
    </w:p>
  </w:footnote>
  <w:footnote w:id="27">
    <w:p w14:paraId="5CC8ED2F" w14:textId="77777777" w:rsidR="00313D56" w:rsidRPr="008D6943" w:rsidRDefault="00313D56" w:rsidP="00313D56">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lang w:val="id-ID"/>
        </w:rPr>
        <w:t>Qs. Al-Baqarah: 136</w:t>
      </w:r>
    </w:p>
  </w:footnote>
  <w:footnote w:id="28">
    <w:p w14:paraId="6C3C9553" w14:textId="77777777" w:rsidR="00CA7E4C" w:rsidRPr="008D6943" w:rsidRDefault="00CA7E4C" w:rsidP="00CA7E4C">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Pr="008D6943">
        <w:rPr>
          <w:rFonts w:ascii="Cambria" w:hAnsi="Cambria"/>
        </w:rPr>
        <w:instrText>ADDIN CSL_CITATION {"citationItems":[{"id":"ITEM-1","itemData":{"DOI":"10.3366/E1465359108000119","ISSN":"1465-3591","author":[{"dropping-particle":"","family":"Neuwirth","given":"Angelika","non-dropping-particle":"","parse-names":false,"suffix":""}],"container-title":"Journal of Qur'anic Studies","id":"ITEM-1","issue":"2","issued":{"date-parts":[["2007","10"]]},"page":"115-127","title":"Orientalism in Oriental Studies? Qur'anic Studies as a Case in Point","type":"article-journal","volume":"9"},"locator":"115","uris":["http://www.mendeley.com/documents/?uuid=f3d1aadf-d4be-3580-b40d-b61086078021"]}],"mendeley":{"formattedCitation":"Neuwirth, “Orientalism in Oriental Studies? Qur’anic Studies as a Case in Point,” 115.","plainTextFormattedCitation":"Neuwirth, “Orientalism in Oriental Studies? Qur’anic Studies as a Case in Point,” 115.","previouslyFormattedCitation":"Neuwirth, “Orientalism in Oriental Studies? Qur’anic Studies as a Case in Point,” 115."},"properties":{"noteIndex":28},"schema":"https://github.com/citation-style-language/schema/raw/master/csl-citation.json"}</w:instrText>
      </w:r>
      <w:r w:rsidRPr="008D6943">
        <w:rPr>
          <w:rFonts w:ascii="Cambria" w:hAnsi="Cambria"/>
        </w:rPr>
        <w:fldChar w:fldCharType="separate"/>
      </w:r>
      <w:r w:rsidRPr="008D6943">
        <w:rPr>
          <w:rFonts w:ascii="Cambria" w:hAnsi="Cambria"/>
          <w:noProof/>
        </w:rPr>
        <w:t>Neuwirth, “Orientalism in Oriental Studies? Qur’anic Studies as a Case in Point,” 115.</w:t>
      </w:r>
      <w:r w:rsidRPr="008D6943">
        <w:rPr>
          <w:rFonts w:ascii="Cambria" w:hAnsi="Cambria"/>
        </w:rPr>
        <w:fldChar w:fldCharType="end"/>
      </w:r>
    </w:p>
  </w:footnote>
  <w:footnote w:id="29">
    <w:p w14:paraId="223E38E5" w14:textId="77777777" w:rsidR="00CA7E4C" w:rsidRPr="008D6943" w:rsidRDefault="00CA7E4C" w:rsidP="00CA7E4C">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Pr="008D6943">
        <w:rPr>
          <w:rFonts w:ascii="Cambria" w:hAnsi="Cambria"/>
        </w:rPr>
        <w:instrText>ADDIN CSL_CITATION {"citationItems":[{"id":"ITEM-1","itemData":{"ISBN":"978–0–203–93845–4","author":[{"dropping-particle":"","family":"Saeed","given":"Abdullah","non-dropping-particle":"","parse-names":false,"suffix":""}],"id":"ITEM-1","issued":{"date-parts":[["2008"]]},"publisher":"Routledge","publisher-place":"London &amp; New York","title":"The Quran: An Introduction","type":"book"},"locator":"2","uris":["http://www.mendeley.com/documents/?uuid=013a80f8-3369-4fc8-be40-1a5523288884"]}],"mendeley":{"formattedCitation":"Abdullah Saeed, &lt;i&gt;The Quran: An Introduction&lt;/i&gt; (London &amp; New York: Routledge, 2008), 2.","plainTextFormattedCitation":"Abdullah Saeed, The Quran: An Introduction (London &amp; New York: Routledge, 2008), 2.","previouslyFormattedCitation":"Abdullah Saeed, &lt;i&gt;The Quran: An Introduction&lt;/i&gt; (London &amp; New York: Routledge, 2008), 2."},"properties":{"noteIndex":29},"schema":"https://github.com/citation-style-language/schema/raw/master/csl-citation.json"}</w:instrText>
      </w:r>
      <w:r w:rsidRPr="008D6943">
        <w:rPr>
          <w:rFonts w:ascii="Cambria" w:hAnsi="Cambria"/>
        </w:rPr>
        <w:fldChar w:fldCharType="separate"/>
      </w:r>
      <w:r w:rsidRPr="008D6943">
        <w:rPr>
          <w:rFonts w:ascii="Cambria" w:hAnsi="Cambria"/>
          <w:noProof/>
        </w:rPr>
        <w:t xml:space="preserve">Abdullah Saeed, </w:t>
      </w:r>
      <w:r w:rsidRPr="008D6943">
        <w:rPr>
          <w:rFonts w:ascii="Cambria" w:hAnsi="Cambria"/>
          <w:i/>
          <w:noProof/>
        </w:rPr>
        <w:t>The Quran: An Introduction</w:t>
      </w:r>
      <w:r w:rsidRPr="008D6943">
        <w:rPr>
          <w:rFonts w:ascii="Cambria" w:hAnsi="Cambria"/>
          <w:noProof/>
        </w:rPr>
        <w:t xml:space="preserve"> (London &amp; New York: Routledge, 2008), 2.</w:t>
      </w:r>
      <w:r w:rsidRPr="008D6943">
        <w:rPr>
          <w:rFonts w:ascii="Cambria" w:hAnsi="Cambria"/>
        </w:rPr>
        <w:fldChar w:fldCharType="end"/>
      </w:r>
    </w:p>
  </w:footnote>
  <w:footnote w:id="30">
    <w:p w14:paraId="5A126C6E" w14:textId="77777777" w:rsidR="00CA7E4C" w:rsidRPr="008D6943" w:rsidRDefault="00CA7E4C" w:rsidP="00CA7E4C">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Pr="008D6943">
        <w:rPr>
          <w:rFonts w:ascii="Cambria" w:hAnsi="Cambria"/>
        </w:rPr>
        <w:instrText>ADDIN CSL_CITATION {"citationItems":[{"id":"ITEM-1","itemData":{"DOI":"10.1501/Ilhfak_0000001396","ISSN":"1301-0522","author":[{"dropping-particle":"","family":"Angelika","given":"NEUWIRTH","non-dropping-particle":"","parse-names":false,"suffix":""}],"container-title":"Ankara Üniversitesi İlahiyat Fakültesi Dergisi","id":"ITEM-1","issue":"2","issued":{"date-parts":[["2013"]]},"page":"189-203","title":"Locating the Qur’an in the epistemic space of late antiquity","type":"article-journal","volume":"54"},"locator":"196","uris":["http://www.mendeley.com/documents/?uuid=fbee10ac-c7fb-3c77-8266-6eb92a8f0a4e"]}],"mendeley":{"formattedCitation":"NEUWIRTH Angelika, “Locating the Qur’an in the epistemic space of late antiquity,” &lt;i&gt;Ankara Üniversitesi İlahiyat Fakültesi Dergisi&lt;/i&gt; 54, no. 2 (2013): 196, https://doi.org/10.1501/Ilhfak_0000001396.","plainTextFormattedCitation":"NEUWIRTH Angelika, “Locating the Qur’an in the epistemic space of late antiquity,” Ankara Üniversitesi İlahiyat Fakültesi Dergisi 54, no. 2 (2013): 196, https://doi.org/10.1501/Ilhfak_0000001396.","previouslyFormattedCitation":"NEUWIRTH Angelika, “Locating the Qur’an in the epistemic space of late antiquity,” &lt;i&gt;Ankara Üniversitesi İlahiyat Fakültesi Dergisi&lt;/i&gt; 54, no. 2 (2013): 196, https://doi.org/10.1501/Ilhfak_0000001396."},"properties":{"noteIndex":30},"schema":"https://github.com/citation-style-language/schema/raw/master/csl-citation.json"}</w:instrText>
      </w:r>
      <w:r w:rsidRPr="008D6943">
        <w:rPr>
          <w:rFonts w:ascii="Cambria" w:hAnsi="Cambria"/>
        </w:rPr>
        <w:fldChar w:fldCharType="separate"/>
      </w:r>
      <w:r w:rsidRPr="008D6943">
        <w:rPr>
          <w:rFonts w:ascii="Cambria" w:hAnsi="Cambria"/>
          <w:noProof/>
        </w:rPr>
        <w:t xml:space="preserve">NEUWIRTH Angelika, “Locating the Qur’an in the epistemic space of late antiquity,” </w:t>
      </w:r>
      <w:r w:rsidRPr="008D6943">
        <w:rPr>
          <w:rFonts w:ascii="Cambria" w:hAnsi="Cambria"/>
          <w:i/>
          <w:noProof/>
        </w:rPr>
        <w:t>Ankara Üniversitesi İlahiyat Fakültesi Dergisi</w:t>
      </w:r>
      <w:r w:rsidRPr="008D6943">
        <w:rPr>
          <w:rFonts w:ascii="Cambria" w:hAnsi="Cambria"/>
          <w:noProof/>
        </w:rPr>
        <w:t xml:space="preserve"> 54, no. 2 (2013): 196, https://doi.org/10.1501/Ilhfak_0000001396.</w:t>
      </w:r>
      <w:r w:rsidRPr="008D6943">
        <w:rPr>
          <w:rFonts w:ascii="Cambria" w:hAnsi="Cambria"/>
        </w:rPr>
        <w:fldChar w:fldCharType="end"/>
      </w:r>
    </w:p>
  </w:footnote>
  <w:footnote w:id="31">
    <w:p w14:paraId="7FE75514" w14:textId="6C0F502C" w:rsidR="00D15AF3" w:rsidRDefault="00D15AF3">
      <w:pPr>
        <w:pStyle w:val="TeksCatatanKaki"/>
      </w:pPr>
      <w:r>
        <w:rPr>
          <w:rStyle w:val="ReferensiCatatanKaki"/>
        </w:rPr>
        <w:footnoteRef/>
      </w:r>
      <w:r>
        <w:t xml:space="preserve"> </w:t>
      </w:r>
      <w:r>
        <w:fldChar w:fldCharType="begin" w:fldLock="1"/>
      </w:r>
      <w:r w:rsidR="002F07E1">
        <w:instrText>ADDIN CSL_CITATION {"citationItems":[{"id":"ITEM-1","itemData":{"DOI":"10.1093/oso/9780199928958.001.0001","ISBN":"9780199928958","author":[{"dropping-particle":"","family":"Neuwirth","given":"Angelika","non-dropping-particle":"","parse-names":false,"suffix":""}],"id":"ITEM-1","issued":{"date-parts":[["2019","3","28"]]},"publisher":"Oxford University Press","title":"The Qur'an and Late Antiquity: A Shared Heritage","type":"book"},"locator":"3-15","uris":["http://www.mendeley.com/documents/?uuid=4cd3f507-461a-43fd-8bfb-d877a37c5ca7"]}],"mendeley":{"formattedCitation":"Angelika Neuwirth, &lt;i&gt;The Qur’an and Late Antiquity: A Shared Heritage&lt;/i&gt; (Oxford University Press, 2019), 3–15, https://doi.org/10.1093/oso/9780199928958.001.0001.","plainTextFormattedCitation":"Angelika Neuwirth, The Qur’an and Late Antiquity: A Shared Heritage (Oxford University Press, 2019), 3–15, https://doi.org/10.1093/oso/9780199928958.001.0001.","previouslyFormattedCitation":"Angelika Neuwirth, &lt;i&gt;The Qur’an and Late Antiquity: A Shared Heritage&lt;/i&gt; (Oxford University Press, 2019), 3–15, https://doi.org/10.1093/oso/9780199928958.001.0001."},"properties":{"noteIndex":31},"schema":"https://github.com/citation-style-language/schema/raw/master/csl-citation.json"}</w:instrText>
      </w:r>
      <w:r>
        <w:fldChar w:fldCharType="separate"/>
      </w:r>
      <w:r w:rsidRPr="00D15AF3">
        <w:rPr>
          <w:noProof/>
        </w:rPr>
        <w:t xml:space="preserve">Angelika Neuwirth, </w:t>
      </w:r>
      <w:r w:rsidRPr="00D15AF3">
        <w:rPr>
          <w:i/>
          <w:noProof/>
        </w:rPr>
        <w:t>The Qur’an and Late Antiquity: A Shared Heritage</w:t>
      </w:r>
      <w:r w:rsidRPr="00D15AF3">
        <w:rPr>
          <w:noProof/>
        </w:rPr>
        <w:t xml:space="preserve"> (Oxford University Press, 2019), 3–15, https://doi.org/10.1093/oso/9780199928958.001.0001.</w:t>
      </w:r>
      <w:r>
        <w:fldChar w:fldCharType="end"/>
      </w:r>
    </w:p>
  </w:footnote>
  <w:footnote w:id="32">
    <w:p w14:paraId="3ACF1917" w14:textId="3865E631" w:rsidR="002F07E1" w:rsidRDefault="002F07E1">
      <w:pPr>
        <w:pStyle w:val="TeksCatatanKaki"/>
      </w:pPr>
      <w:r>
        <w:rPr>
          <w:rStyle w:val="ReferensiCatatanKaki"/>
        </w:rPr>
        <w:footnoteRef/>
      </w:r>
      <w:r>
        <w:t xml:space="preserve"> </w:t>
      </w:r>
      <w:r>
        <w:fldChar w:fldCharType="begin" w:fldLock="1"/>
      </w:r>
      <w:r>
        <w:instrText>ADDIN CSL_CITATION {"citationItems":[{"id":"ITEM-1","itemData":{"author":[{"dropping-particle":"","family":"Neuwirth","given":"Angelika","non-dropping-particle":"","parse-names":false,"suffix":""}],"id":"ITEM-1","issued":{"date-parts":[["2014"]]},"publisher":"Oxford University Press","publisher-place":"Oxford","title":"Scripture, Poetry, and the Making of a Community: Reading the Qur'an as a Literary Text","type":"book"},"locator":"45-60","uris":["http://www.mendeley.com/documents/?uuid=e58b5e44-e09e-49dd-a1a1-ee13d8794e81"]}],"mendeley":{"formattedCitation":"Angelika Neuwirth, &lt;i&gt;Scripture, Poetry, and the Making of a Community: Reading the Qur’an as a Literary Text&lt;/i&gt; (Oxford: Oxford University Press, 2014), 45–60.","plainTextFormattedCitation":"Angelika Neuwirth, Scripture, Poetry, and the Making of a Community: Reading the Qur’an as a Literary Text (Oxford: Oxford University Press, 2014), 45–60.","previouslyFormattedCitation":"Angelika Neuwirth, &lt;i&gt;Scripture, Poetry, and the Making of a Community: Reading the Qur’an as a Literary Text&lt;/i&gt; (Oxford: Oxford University Press, 2014), 45–60."},"properties":{"noteIndex":32},"schema":"https://github.com/citation-style-language/schema/raw/master/csl-citation.json"}</w:instrText>
      </w:r>
      <w:r>
        <w:fldChar w:fldCharType="separate"/>
      </w:r>
      <w:r w:rsidRPr="002F07E1">
        <w:rPr>
          <w:noProof/>
        </w:rPr>
        <w:t xml:space="preserve">Angelika Neuwirth, </w:t>
      </w:r>
      <w:r w:rsidRPr="002F07E1">
        <w:rPr>
          <w:i/>
          <w:noProof/>
        </w:rPr>
        <w:t>Scripture, Poetry, and the Making of a Community: Reading the Qur’an as a Literary Text</w:t>
      </w:r>
      <w:r w:rsidRPr="002F07E1">
        <w:rPr>
          <w:noProof/>
        </w:rPr>
        <w:t xml:space="preserve"> (Oxford: Oxford University Press, 2014), 45–60.</w:t>
      </w:r>
      <w:r>
        <w:fldChar w:fldCharType="end"/>
      </w:r>
    </w:p>
  </w:footnote>
  <w:footnote w:id="33">
    <w:p w14:paraId="13AC3E02" w14:textId="61F5D4D8" w:rsidR="002F07E1" w:rsidRDefault="002F07E1">
      <w:pPr>
        <w:pStyle w:val="TeksCatatanKaki"/>
      </w:pPr>
      <w:r>
        <w:rPr>
          <w:rStyle w:val="ReferensiCatatanKaki"/>
        </w:rPr>
        <w:footnoteRef/>
      </w:r>
      <w:r>
        <w:t xml:space="preserve"> </w:t>
      </w:r>
      <w:r>
        <w:fldChar w:fldCharType="begin" w:fldLock="1"/>
      </w:r>
      <w:r>
        <w:instrText>ADDIN CSL_CITATION {"citationItems":[{"id":"ITEM-1","itemData":{"DOI":"10.1093/oso/9780199928958.001.0001","ISBN":"9780199928958","author":[{"dropping-particle":"","family":"Neuwirth","given":"Angelika","non-dropping-particle":"","parse-names":false,"suffix":""}],"id":"ITEM-1","issued":{"date-parts":[["2019","3","28"]]},"publisher":"Oxford University Press","title":"The Qur'an and Late Antiquity: A Shared Heritage","type":"book"},"locator":"150-170","uris":["http://www.mendeley.com/documents/?uuid=4cd3f507-461a-43fd-8bfb-d877a37c5ca7"]}],"mendeley":{"formattedCitation":"Neuwirth, &lt;i&gt;The Qur’an and Late Antiquity: A Shared Heritage&lt;/i&gt;, 150–70.","plainTextFormattedCitation":"Neuwirth, The Qur’an and Late Antiquity: A Shared Heritage, 150–70.","previouslyFormattedCitation":"Neuwirth, &lt;i&gt;The Qur’an and Late Antiquity: A Shared Heritage&lt;/i&gt;, 150–70."},"properties":{"noteIndex":33},"schema":"https://github.com/citation-style-language/schema/raw/master/csl-citation.json"}</w:instrText>
      </w:r>
      <w:r>
        <w:fldChar w:fldCharType="separate"/>
      </w:r>
      <w:r w:rsidRPr="002F07E1">
        <w:rPr>
          <w:noProof/>
        </w:rPr>
        <w:t xml:space="preserve">Neuwirth, </w:t>
      </w:r>
      <w:r w:rsidRPr="002F07E1">
        <w:rPr>
          <w:i/>
          <w:noProof/>
        </w:rPr>
        <w:t>The Qur’an and Late Antiquity: A Shared Heritage</w:t>
      </w:r>
      <w:r w:rsidRPr="002F07E1">
        <w:rPr>
          <w:noProof/>
        </w:rPr>
        <w:t>, 150–70.</w:t>
      </w:r>
      <w:r>
        <w:fldChar w:fldCharType="end"/>
      </w:r>
    </w:p>
  </w:footnote>
  <w:footnote w:id="34">
    <w:p w14:paraId="6F3176B0" w14:textId="090966E8" w:rsidR="002F07E1" w:rsidRDefault="002F07E1">
      <w:pPr>
        <w:pStyle w:val="TeksCatatanKaki"/>
      </w:pPr>
      <w:r>
        <w:rPr>
          <w:rStyle w:val="ReferensiCatatanKaki"/>
        </w:rPr>
        <w:footnoteRef/>
      </w:r>
      <w:r>
        <w:t xml:space="preserve"> </w:t>
      </w:r>
      <w:r>
        <w:fldChar w:fldCharType="begin" w:fldLock="1"/>
      </w:r>
      <w:r>
        <w:instrText>ADDIN CSL_CITATION {"citationItems":[{"id":"ITEM-1","itemData":{"DOI":"10.1093/oso/9780199928958.001.0001","ISBN":"9780199928958","author":[{"dropping-particle":"","family":"Neuwirth","given":"Angelika","non-dropping-particle":"","parse-names":false,"suffix":""}],"id":"ITEM-1","issued":{"date-parts":[["2019","3","28"]]},"publisher":"Oxford University Press","title":"The Qur'an and Late Antiquity: A Shared Heritage","type":"book"},"locator":"200-220","uris":["http://www.mendeley.com/documents/?uuid=4cd3f507-461a-43fd-8bfb-d877a37c5ca7"]}],"mendeley":{"formattedCitation":"Neuwirth, 200–220.","plainTextFormattedCitation":"Neuwirth, 200–220.","previouslyFormattedCitation":"200–220."},"properties":{"noteIndex":34},"schema":"https://github.com/citation-style-language/schema/raw/master/csl-citation.json"}</w:instrText>
      </w:r>
      <w:r>
        <w:fldChar w:fldCharType="separate"/>
      </w:r>
      <w:r w:rsidRPr="002F07E1">
        <w:rPr>
          <w:noProof/>
        </w:rPr>
        <w:t>Neuwirth, 200–220.</w:t>
      </w:r>
      <w:r>
        <w:fldChar w:fldCharType="end"/>
      </w:r>
    </w:p>
  </w:footnote>
  <w:footnote w:id="35">
    <w:p w14:paraId="7C34AC19" w14:textId="78BFC8EE" w:rsidR="00CA7E4C" w:rsidRPr="008D6943" w:rsidRDefault="00CA7E4C" w:rsidP="00CA7E4C">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002F07E1">
        <w:rPr>
          <w:rFonts w:ascii="Cambria" w:hAnsi="Cambria"/>
        </w:rPr>
        <w:instrText>ADDIN CSL_CITATION {"citationItems":[{"id":"ITEM-1","itemData":{"ISBN":"979-9340-38-1","author":[{"dropping-particle":"","family":"Mansur","given":"Ali","non-dropping-particle":"","parse-names":false,"suffix":""}],"container-title":"Studi Al-Qur'an Kontemporer: Wacana Baru Berbagai Metodologi Tafsir","edition":"1","editor":[{"dropping-particle":"","family":"Mustaqim","given":"Abdul","non-dropping-particle":"","parse-names":false,"suffix":""},{"dropping-particle":"","family":"Syamsudin","given":"Sahiron","non-dropping-particle":"","parse-names":false,"suffix":""}],"id":"ITEM-1","issued":{"date-parts":[["2002"]]},"publisher":"PT. Tiara Wacana Yogya","publisher-place":"Yogyakarta","title":"Ahli Kitab dalam Al-Qur'an: Model Penafsiran Fazlur Rahman","type":"chapter"},"locator":"59-60","uris":["http://www.mendeley.com/documents/?uuid=1303dbb5-846d-4043-a028-e79c2ec2edde"]}],"mendeley":{"formattedCitation":"Mansur, “Ahli Kitab dalam Al-Qur’an: Model Penafsiran Fazlur Rahman,” 59–60.","plainTextFormattedCitation":"Mansur, “Ahli Kitab dalam Al-Qur’an: Model Penafsiran Fazlur Rahman,” 59–60.","previouslyFormattedCitation":"Mansur, “Ahli Kitab dalam Al-Qur’an: Model Penafsiran Fazlur Rahman,” 59–60."},"properties":{"noteIndex":35},"schema":"https://github.com/citation-style-language/schema/raw/master/csl-citation.json"}</w:instrText>
      </w:r>
      <w:r w:rsidRPr="008D6943">
        <w:rPr>
          <w:rFonts w:ascii="Cambria" w:hAnsi="Cambria"/>
        </w:rPr>
        <w:fldChar w:fldCharType="separate"/>
      </w:r>
      <w:r w:rsidRPr="008D6943">
        <w:rPr>
          <w:rFonts w:ascii="Cambria" w:hAnsi="Cambria"/>
          <w:noProof/>
        </w:rPr>
        <w:t>Mansur, “Ahli Kitab dalam Al-Qur’an: Model Penafsiran Fazlur Rahman,” 59–60.</w:t>
      </w:r>
      <w:r w:rsidRPr="008D6943">
        <w:rPr>
          <w:rFonts w:ascii="Cambria" w:hAnsi="Cambria"/>
        </w:rPr>
        <w:fldChar w:fldCharType="end"/>
      </w:r>
    </w:p>
  </w:footnote>
  <w:footnote w:id="36">
    <w:p w14:paraId="09FC0BBE" w14:textId="34065B71" w:rsidR="00CA7E4C" w:rsidRPr="008D6943" w:rsidRDefault="00CA7E4C" w:rsidP="00CA7E4C">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002F07E1">
        <w:rPr>
          <w:rFonts w:ascii="Cambria" w:hAnsi="Cambria"/>
        </w:rPr>
        <w:instrText>ADDIN CSL_CITATION {"citationItems":[{"id":"ITEM-1","itemData":{"ISBN":"979-9340-38-1","author":[{"dropping-particle":"","family":"Mansur","given":"Ali","non-dropping-particle":"","parse-names":false,"suffix":""}],"container-title":"Studi Al-Qur'an Kontemporer: Wacana Baru Berbagai Metodologi Tafsir","edition":"1","editor":[{"dropping-particle":"","family":"Mustaqim","given":"Abdul","non-dropping-particle":"","parse-names":false,"suffix":""},{"dropping-particle":"","family":"Syamsudin","given":"Sahiron","non-dropping-particle":"","parse-names":false,"suffix":""}],"id":"ITEM-1","issued":{"date-parts":[["2002"]]},"publisher":"PT. Tiara Wacana Yogya","publisher-place":"Yogyakarta","title":"Ahli Kitab dalam Al-Qur'an: Model Penafsiran Fazlur Rahman","type":"chapter"},"locator":"49","uris":["http://www.mendeley.com/documents/?uuid=1303dbb5-846d-4043-a028-e79c2ec2edde"]}],"mendeley":{"formattedCitation":"Mansur, 49.","plainTextFormattedCitation":"Mansur, 49.","previouslyFormattedCitation":"Mansur, 49."},"properties":{"noteIndex":36},"schema":"https://github.com/citation-style-language/schema/raw/master/csl-citation.json"}</w:instrText>
      </w:r>
      <w:r w:rsidRPr="008D6943">
        <w:rPr>
          <w:rFonts w:ascii="Cambria" w:hAnsi="Cambria"/>
        </w:rPr>
        <w:fldChar w:fldCharType="separate"/>
      </w:r>
      <w:r w:rsidRPr="008D6943">
        <w:rPr>
          <w:rFonts w:ascii="Cambria" w:hAnsi="Cambria"/>
          <w:noProof/>
        </w:rPr>
        <w:t>Mansur, 49.</w:t>
      </w:r>
      <w:r w:rsidRPr="008D6943">
        <w:rPr>
          <w:rFonts w:ascii="Cambria" w:hAnsi="Cambria"/>
        </w:rPr>
        <w:fldChar w:fldCharType="end"/>
      </w:r>
    </w:p>
  </w:footnote>
  <w:footnote w:id="37">
    <w:p w14:paraId="5CEF69B1" w14:textId="20283E17" w:rsidR="00CA7E4C" w:rsidRPr="008D6943" w:rsidRDefault="00CA7E4C" w:rsidP="00CA7E4C">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002F07E1">
        <w:rPr>
          <w:rFonts w:ascii="Cambria" w:hAnsi="Cambria"/>
        </w:rPr>
        <w:instrText>ADDIN CSL_CITATION {"citationItems":[{"id":"ITEM-1","itemData":{"DOI":"10.1093/oso/9780199928958.001.0001","ISBN":"9780199928958","author":[{"dropping-particle":"","family":"Neuwirth","given":"Angelika","non-dropping-particle":"","parse-names":false,"suffix":""}],"id":"ITEM-1","issued":{"date-parts":[["2019","3","28"]]},"publisher":"Oxford University Press","publisher-place":"New York","title":"The Qur'an and Late Antiquity, translated by Samuel Wilder","type":"book"},"locator":"341","suppress-author":1,"uris":["http://www.mendeley.com/documents/?uuid=ed4eb5e6-fcc9-4b53-bd1b-8e46b3d43260"]}],"mendeley":{"formattedCitation":"&lt;i&gt;The Qur’an and Late Antiquity, translated by Samuel Wilder&lt;/i&gt;, 341.","plainTextFormattedCitation":"The Qur’an and Late Antiquity, translated by Samuel Wilder, 341.","previouslyFormattedCitation":"&lt;i&gt;The Qur’an and Late Antiquity, translated by Samuel Wilder&lt;/i&gt;, 341."},"properties":{"noteIndex":37},"schema":"https://github.com/citation-style-language/schema/raw/master/csl-citation.json"}</w:instrText>
      </w:r>
      <w:r w:rsidRPr="008D6943">
        <w:rPr>
          <w:rFonts w:ascii="Cambria" w:hAnsi="Cambria"/>
        </w:rPr>
        <w:fldChar w:fldCharType="separate"/>
      </w:r>
      <w:r w:rsidRPr="008D6943">
        <w:rPr>
          <w:rFonts w:ascii="Cambria" w:hAnsi="Cambria"/>
          <w:i/>
          <w:noProof/>
        </w:rPr>
        <w:t>The Qur’an and Late Antiquity, translated by Samuel Wilder</w:t>
      </w:r>
      <w:r w:rsidRPr="008D6943">
        <w:rPr>
          <w:rFonts w:ascii="Cambria" w:hAnsi="Cambria"/>
          <w:noProof/>
        </w:rPr>
        <w:t>, 341.</w:t>
      </w:r>
      <w:r w:rsidRPr="008D6943">
        <w:rPr>
          <w:rFonts w:ascii="Cambria" w:hAnsi="Cambria"/>
        </w:rPr>
        <w:fldChar w:fldCharType="end"/>
      </w:r>
    </w:p>
  </w:footnote>
  <w:footnote w:id="38">
    <w:p w14:paraId="4DA3C92C" w14:textId="68C1BAF3" w:rsidR="00CA7E4C" w:rsidRPr="008D6943" w:rsidRDefault="00CA7E4C" w:rsidP="00CA7E4C">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002F07E1">
        <w:rPr>
          <w:rFonts w:ascii="Cambria" w:hAnsi="Cambria"/>
        </w:rPr>
        <w:instrText>ADDIN CSL_CITATION {"citationItems":[{"id":"ITEM-1","itemData":{"DOI":"10.3366/E1465359108000119","ISSN":"1465-3591","author":[{"dropping-particle":"","family":"Neuwirth","given":"Angelika","non-dropping-particle":"","parse-names":false,"suffix":""}],"container-title":"Journal of Qur'anic Studies","id":"ITEM-1","issue":"2","issued":{"date-parts":[["2007","10"]]},"page":"115-127","title":"Orientalism in Oriental Studies? Qur'anic Studies as a Case in Point","type":"article-journal","volume":"9"},"locator":"115","uris":["http://www.mendeley.com/documents/?uuid=f3d1aadf-d4be-3580-b40d-b61086078021"]}],"mendeley":{"formattedCitation":"Neuwirth, “Orientalism in Oriental Studies? Qur’anic Studies as a Case in Point,” 115.","plainTextFormattedCitation":"Neuwirth, “Orientalism in Oriental Studies? Qur’anic Studies as a Case in Point,” 115.","previouslyFormattedCitation":"Neuwirth, “Orientalism in Oriental Studies? Qur’anic Studies as a Case in Point,” 115."},"properties":{"noteIndex":38},"schema":"https://github.com/citation-style-language/schema/raw/master/csl-citation.json"}</w:instrText>
      </w:r>
      <w:r w:rsidRPr="008D6943">
        <w:rPr>
          <w:rFonts w:ascii="Cambria" w:hAnsi="Cambria"/>
        </w:rPr>
        <w:fldChar w:fldCharType="separate"/>
      </w:r>
      <w:r w:rsidRPr="008D6943">
        <w:rPr>
          <w:rFonts w:ascii="Cambria" w:hAnsi="Cambria"/>
          <w:noProof/>
        </w:rPr>
        <w:t>Neuwirth, “Orientalism in Oriental Studies? Qur’anic Studies as a Case in Point,” 115.</w:t>
      </w:r>
      <w:r w:rsidRPr="008D6943">
        <w:rPr>
          <w:rFonts w:ascii="Cambria" w:hAnsi="Cambria"/>
        </w:rPr>
        <w:fldChar w:fldCharType="end"/>
      </w:r>
    </w:p>
  </w:footnote>
  <w:footnote w:id="39">
    <w:p w14:paraId="647C283D" w14:textId="5F20C7D3" w:rsidR="00D059AB" w:rsidRPr="008D6943" w:rsidRDefault="00D059AB" w:rsidP="00D059AB">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002F07E1">
        <w:rPr>
          <w:rFonts w:ascii="Cambria" w:hAnsi="Cambria"/>
        </w:rPr>
        <w:instrText>ADDIN CSL_CITATION {"citationItems":[{"id":"ITEM-1","itemData":{"ISBN":"978-602-8055-38-3","author":[{"dropping-particle":"","family":"Mustaqim","given":"Abdul","non-dropping-particle":"","parse-names":false,"suffix":""}],"edition":"1","editor":[{"dropping-particle":"","family":"Qudsy","given":"Saifuddin Zuhri","non-dropping-particle":"","parse-names":false,"suffix":""}],"id":"ITEM-1","issued":{"date-parts":[["2008"]]},"publisher":"Pustaka Pelajar","publisher-place":"Yogyakarta","title":"Pergeseran Epistemologi Tafsir","type":"book"},"locator":"30","uris":["http://www.mendeley.com/documents/?uuid=cc75ad9e-479e-4f6d-9243-65c7e2f64c0b"]}],"mendeley":{"formattedCitation":"Abdul Mustaqim, &lt;i&gt;Pergeseran Epistemologi Tafsir&lt;/i&gt;, ed. oleh Saifuddin Zuhri Qudsy, 1 ed. (Yogyakarta: Pustaka Pelajar, 2008), 30.","plainTextFormattedCitation":"Abdul Mustaqim, Pergeseran Epistemologi Tafsir, ed. oleh Saifuddin Zuhri Qudsy, 1 ed. (Yogyakarta: Pustaka Pelajar, 2008), 30.","previouslyFormattedCitation":"Abdul Mustaqim, &lt;i&gt;Pergeseran Epistemologi Tafsir&lt;/i&gt;, ed. oleh Saifuddin Zuhri Qudsy, 1 ed. (Yogyakarta: Pustaka Pelajar, 2008), 30."},"properties":{"noteIndex":39},"schema":"https://github.com/citation-style-language/schema/raw/master/csl-citation.json"}</w:instrText>
      </w:r>
      <w:r w:rsidRPr="008D6943">
        <w:rPr>
          <w:rFonts w:ascii="Cambria" w:hAnsi="Cambria"/>
        </w:rPr>
        <w:fldChar w:fldCharType="separate"/>
      </w:r>
      <w:r w:rsidRPr="008D6943">
        <w:rPr>
          <w:rFonts w:ascii="Cambria" w:hAnsi="Cambria"/>
          <w:noProof/>
        </w:rPr>
        <w:t xml:space="preserve">Abdul Mustaqim, </w:t>
      </w:r>
      <w:r w:rsidRPr="008D6943">
        <w:rPr>
          <w:rFonts w:ascii="Cambria" w:hAnsi="Cambria"/>
          <w:i/>
          <w:noProof/>
        </w:rPr>
        <w:t>Pergeseran Epistemologi Tafsir</w:t>
      </w:r>
      <w:r w:rsidRPr="008D6943">
        <w:rPr>
          <w:rFonts w:ascii="Cambria" w:hAnsi="Cambria"/>
          <w:noProof/>
        </w:rPr>
        <w:t>, ed. oleh Saifuddin Zuhri Qudsy, 1 ed. (Yogyakarta: Pustaka Pelajar, 2008), 30.</w:t>
      </w:r>
      <w:r w:rsidRPr="008D6943">
        <w:rPr>
          <w:rFonts w:ascii="Cambria" w:hAnsi="Cambria"/>
        </w:rPr>
        <w:fldChar w:fldCharType="end"/>
      </w:r>
    </w:p>
  </w:footnote>
  <w:footnote w:id="40">
    <w:p w14:paraId="56F2B866" w14:textId="12BFDC62" w:rsidR="00D059AB" w:rsidRPr="008D6943" w:rsidRDefault="00D059AB" w:rsidP="00D059AB">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002F07E1">
        <w:rPr>
          <w:rFonts w:ascii="Cambria" w:hAnsi="Cambria"/>
        </w:rPr>
        <w:instrText>ADDIN CSL_CITATION {"citationItems":[{"id":"ITEM-1","itemData":{"DOI":"10.3366/E1465359108000119","ISSN":"1465-3591","author":[{"dropping-particle":"","family":"Neuwirth","given":"Angelika","non-dropping-particle":"","parse-names":false,"suffix":""}],"container-title":"Journal of Qur'anic Studies","id":"ITEM-1","issue":"2","issued":{"date-parts":[["2007","10"]]},"page":"115-127","title":"Orientalism in Oriental Studies? Qur'anic Studies as a Case in Point","type":"article-journal","volume":"9"},"locator":"115","uris":["http://www.mendeley.com/documents/?uuid=f3d1aadf-d4be-3580-b40d-b61086078021"]}],"mendeley":{"formattedCitation":"Neuwirth, “Orientalism in Oriental Studies? Qur’anic Studies as a Case in Point,” 115.","plainTextFormattedCitation":"Neuwirth, “Orientalism in Oriental Studies? Qur’anic Studies as a Case in Point,” 115.","previouslyFormattedCitation":"Neuwirth, “Orientalism in Oriental Studies? Qur’anic Studies as a Case in Point,” 115."},"properties":{"noteIndex":40},"schema":"https://github.com/citation-style-language/schema/raw/master/csl-citation.json"}</w:instrText>
      </w:r>
      <w:r w:rsidRPr="008D6943">
        <w:rPr>
          <w:rFonts w:ascii="Cambria" w:hAnsi="Cambria"/>
        </w:rPr>
        <w:fldChar w:fldCharType="separate"/>
      </w:r>
      <w:r w:rsidRPr="008D6943">
        <w:rPr>
          <w:rFonts w:ascii="Cambria" w:hAnsi="Cambria"/>
          <w:noProof/>
        </w:rPr>
        <w:t>Neuwirth, “Orientalism in Oriental Studies? Qur’anic Studies as a Case in Point,” 115.</w:t>
      </w:r>
      <w:r w:rsidRPr="008D6943">
        <w:rPr>
          <w:rFonts w:ascii="Cambria" w:hAnsi="Cambria"/>
        </w:rPr>
        <w:fldChar w:fldCharType="end"/>
      </w:r>
    </w:p>
  </w:footnote>
  <w:footnote w:id="41">
    <w:p w14:paraId="171A6125" w14:textId="58343F9A" w:rsidR="00D059AB" w:rsidRPr="008D6943" w:rsidRDefault="00D059AB" w:rsidP="00D059AB">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002F07E1">
        <w:rPr>
          <w:rFonts w:ascii="Cambria" w:hAnsi="Cambria"/>
        </w:rPr>
        <w:instrText>ADDIN CSL_CITATION {"citationItems":[{"id":"ITEM-1","itemData":{"DOI":"10.4324/9780203939604","ISBN":"9781134109456","author":[{"dropping-particle":"","family":"Reynolds","given":"Gabriel Said","non-dropping-particle":"","parse-names":false,"suffix":""}],"edition":"1","editor":[{"dropping-particle":"","family":"Reynolds","given":"Gabriel","non-dropping-particle":"","parse-names":false,"suffix":""}],"id":"ITEM-1","issued":{"date-parts":[["2007","9","28"]]},"publisher":"Routledge","publisher-place":"London","title":"The Qur'an in its Historical Context","type":"book"},"locator":"8","uris":["http://www.mendeley.com/documents/?uuid=d68999d5-7d8c-4f30-9a2c-eac5e0e6ecf5"]}],"mendeley":{"formattedCitation":"Reynolds, &lt;i&gt;The Qur’an in its Historical Context&lt;/i&gt;, 8.","plainTextFormattedCitation":"Reynolds, The Qur’an in its Historical Context, 8.","previouslyFormattedCitation":"Reynolds, &lt;i&gt;The Qur’an in its Historical Context&lt;/i&gt;, 8."},"properties":{"noteIndex":41},"schema":"https://github.com/citation-style-language/schema/raw/master/csl-citation.json"}</w:instrText>
      </w:r>
      <w:r w:rsidRPr="008D6943">
        <w:rPr>
          <w:rFonts w:ascii="Cambria" w:hAnsi="Cambria"/>
        </w:rPr>
        <w:fldChar w:fldCharType="separate"/>
      </w:r>
      <w:r w:rsidRPr="008D6943">
        <w:rPr>
          <w:rFonts w:ascii="Cambria" w:hAnsi="Cambria"/>
          <w:noProof/>
        </w:rPr>
        <w:t xml:space="preserve">Reynolds, </w:t>
      </w:r>
      <w:r w:rsidRPr="008D6943">
        <w:rPr>
          <w:rFonts w:ascii="Cambria" w:hAnsi="Cambria"/>
          <w:i/>
          <w:noProof/>
        </w:rPr>
        <w:t>The Qur’an in its Historical Context</w:t>
      </w:r>
      <w:r w:rsidRPr="008D6943">
        <w:rPr>
          <w:rFonts w:ascii="Cambria" w:hAnsi="Cambria"/>
          <w:noProof/>
        </w:rPr>
        <w:t>, 8.</w:t>
      </w:r>
      <w:r w:rsidRPr="008D6943">
        <w:rPr>
          <w:rFonts w:ascii="Cambria" w:hAnsi="Cambria"/>
        </w:rPr>
        <w:fldChar w:fldCharType="end"/>
      </w:r>
    </w:p>
  </w:footnote>
  <w:footnote w:id="42">
    <w:p w14:paraId="3790F42B" w14:textId="153AD05F" w:rsidR="00D059AB" w:rsidRPr="008D6943" w:rsidRDefault="00D059AB" w:rsidP="00D059AB">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lang w:val="id-ID"/>
        </w:rPr>
        <w:t xml:space="preserve"> </w:t>
      </w:r>
      <w:r w:rsidRPr="008D6943">
        <w:rPr>
          <w:rFonts w:ascii="Cambria" w:hAnsi="Cambria"/>
        </w:rPr>
        <w:fldChar w:fldCharType="begin" w:fldLock="1"/>
      </w:r>
      <w:r w:rsidR="002F07E1">
        <w:rPr>
          <w:rFonts w:ascii="Cambria" w:hAnsi="Cambria"/>
          <w:lang w:val="id-ID"/>
        </w:rPr>
        <w:instrText>ADDIN CSL_CITATION {"citationItems":[{"id":"ITEM-1","itemData":{"DOI":"https://doi.org/10.12730/13091719.2019.101","author":[{"dropping-particle":"","family":"Reynolds","given":"Gabriel Said","non-dropping-particle":"","parse-names":false,"suffix":""}],"id":"ITEM-1","issued":{"date-parts":[["2018"]]},"publisher":"Yale University Press","publisher-place":"New Haven","title":"The Qur'an and the Bible (Text and Commentary)","type":"book"},"locator":"2","prefix":"Reynolds' conclusion in his intertextual interaction with the Qurʾān, he says ’the Qurʾān is an original work in literary and religious terms, but also a work which depends heavily on its audience's knowledge of the Bible and the traditions which developed out of the Bible.’ Reynolds‘ opinion is not much different from his predecessors who regarded the Qurʾān as Muhammad's “work”, except that Reynolds’ stance is more objective.","uris":["http://www.mendeley.com/documents/?uuid=3f928ac5-bb6e-4c7c-8cbc-ead9976988ab"]}],"mendeley":{"formattedCitation":"Reynolds’ conclusion in his intertextual interaction with the Qurʾān, he says ’the Qurʾān is an original work in literary and religious terms, but also a work which depends heavily on its audience’s knowledge of the Bible and the traditions which developed out of the Bible.’ Reynolds‘ opinion is not much different from his predecessors who regarded the Qurʾān as Muhammad’s “work”, except that Reynolds’ stance is more objective. Reynolds, &lt;i&gt;The Qur’an and the Bible (Text and Commentary)&lt;/i&gt;, 2.","plainTextFormattedCitation":"Reynolds’ conclusion in his intertextual interaction with the Qurʾān, he says ’the Qurʾān is an original work in literary and religious terms, but also a work which depends heavily on its audience’s knowledge of the Bible and the traditions which developed out of the Bible.’ Reynolds‘ opinion is not much different from his predecessors who regarded the Qurʾān as Muhammad’s “work”, except that Reynolds’ stance is more objective. Reynolds, The Qur’an and the Bible (Text and Commentary), 2.","previouslyFormattedCitation":"Reynolds’ conclusion in his intertextual interaction with the Qurʾān, he says ’the Qurʾān is an original work in literary and religious terms, but also a work which depends heavily on its audience’s knowledge of the Bible and the traditions which developed out of the Bible.’ Reynolds‘ opinion is not much different from his predecessors who regarded the Qurʾān as Muhammad’s “work”, except that Reynolds’ stance is more objective. Reynolds, &lt;i&gt;The Qur’an and the Bible (Text and Commentary)&lt;/i&gt;, 2."},"properties":{"noteIndex":42},"schema":"https://github.com/citation-style-language/schema/raw/master/csl-citation.json"}</w:instrText>
      </w:r>
      <w:r w:rsidRPr="008D6943">
        <w:rPr>
          <w:rFonts w:ascii="Cambria" w:hAnsi="Cambria"/>
        </w:rPr>
        <w:fldChar w:fldCharType="separate"/>
      </w:r>
      <w:r w:rsidR="00A721D4" w:rsidRPr="00A721D4">
        <w:rPr>
          <w:rFonts w:ascii="Cambria" w:hAnsi="Cambria"/>
          <w:noProof/>
          <w:lang w:val="id-ID"/>
        </w:rPr>
        <w:t xml:space="preserve">Reynolds’ conclusion in his intertextual interaction with the Qurʾān, he says ’the Qurʾān is an original work in literary and religious terms, but also a work which depends heavily on its audience’s knowledge of the Bible and the traditions which developed out of the Bible.’ Reynolds‘ opinion is not much different from his predecessors who regarded the Qurʾān as Muhammad’s “work”, except that Reynolds’ stance is more objective. Reynolds, </w:t>
      </w:r>
      <w:r w:rsidR="00A721D4" w:rsidRPr="00A721D4">
        <w:rPr>
          <w:rFonts w:ascii="Cambria" w:hAnsi="Cambria"/>
          <w:i/>
          <w:noProof/>
          <w:lang w:val="id-ID"/>
        </w:rPr>
        <w:t>The Qur’an and the Bible (Text and Commentary)</w:t>
      </w:r>
      <w:r w:rsidR="00A721D4" w:rsidRPr="00A721D4">
        <w:rPr>
          <w:rFonts w:ascii="Cambria" w:hAnsi="Cambria"/>
          <w:noProof/>
          <w:lang w:val="id-ID"/>
        </w:rPr>
        <w:t>, 2.</w:t>
      </w:r>
      <w:r w:rsidRPr="008D6943">
        <w:rPr>
          <w:rFonts w:ascii="Cambria" w:hAnsi="Cambria"/>
        </w:rPr>
        <w:fldChar w:fldCharType="end"/>
      </w:r>
    </w:p>
  </w:footnote>
  <w:footnote w:id="43">
    <w:p w14:paraId="355E37C1" w14:textId="6CD81BA8" w:rsidR="00D059AB" w:rsidRPr="008D6943" w:rsidRDefault="00D059AB" w:rsidP="00D059AB">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002F07E1">
        <w:rPr>
          <w:rFonts w:ascii="Cambria" w:hAnsi="Cambria"/>
        </w:rPr>
        <w:instrText>ADDIN CSL_CITATION {"citationItems":[{"id":"ITEM-1","itemData":{"DOI":"10.2307/j.ctv2vvsx24","ISBN":"9780300265545","author":[{"dropping-particle":"","family":"Neuwirth","given":"Angelika","non-dropping-particle":"","parse-names":false,"suffix":""}],"container-title":"The Qur'an: Text and Commentary, Volume 1","id":"ITEM-1","issued":{"date-parts":[["2022","10","18"]]},"publisher":"Yale University Press","publisher-place":"New Haven and London","title":"Early Meccans Suras: Poetic Prophecy","type":"chapter"},"locator":"2","uris":["http://www.mendeley.com/documents/?uuid=6b076c3b-9796-35ca-b85d-a96c4febfe27"]}],"mendeley":{"formattedCitation":"Angelika Neuwirth, “Early Meccans Suras: Poetic Prophecy,” in &lt;i&gt;The Qur’an: Text and Commentary, Volume 1&lt;/i&gt; (New Haven and London: Yale University Press, 2022), 2, https://doi.org/10.2307/j.ctv2vvsx24.","plainTextFormattedCitation":"Angelika Neuwirth, “Early Meccans Suras: Poetic Prophecy,” in The Qur’an: Text and Commentary, Volume 1 (New Haven and London: Yale University Press, 2022), 2, https://doi.org/10.2307/j.ctv2vvsx24.","previouslyFormattedCitation":"Angelika Neuwirth, “Early Meccans Suras: Poetic Prophecy,” in &lt;i&gt;The Qur’an: Text and Commentary, Volume 1&lt;/i&gt; (New Haven and London: Yale University Press, 2022), 2, https://doi.org/10.2307/j.ctv2vvsx24."},"properties":{"noteIndex":43},"schema":"https://github.com/citation-style-language/schema/raw/master/csl-citation.json"}</w:instrText>
      </w:r>
      <w:r w:rsidRPr="008D6943">
        <w:rPr>
          <w:rFonts w:ascii="Cambria" w:hAnsi="Cambria"/>
        </w:rPr>
        <w:fldChar w:fldCharType="separate"/>
      </w:r>
      <w:r w:rsidRPr="008D6943">
        <w:rPr>
          <w:rFonts w:ascii="Cambria" w:hAnsi="Cambria"/>
          <w:bCs/>
          <w:noProof/>
        </w:rPr>
        <w:t xml:space="preserve">Angelika Neuwirth, “Early Meccans Suras: Poetic Prophecy,” in </w:t>
      </w:r>
      <w:r w:rsidRPr="008D6943">
        <w:rPr>
          <w:rFonts w:ascii="Cambria" w:hAnsi="Cambria"/>
          <w:bCs/>
          <w:i/>
          <w:noProof/>
        </w:rPr>
        <w:t>The Qur’an: Text and Commentary, Volume 1</w:t>
      </w:r>
      <w:r w:rsidRPr="008D6943">
        <w:rPr>
          <w:rFonts w:ascii="Cambria" w:hAnsi="Cambria"/>
          <w:bCs/>
          <w:noProof/>
        </w:rPr>
        <w:t xml:space="preserve"> (New Haven and London: Yale University Press, 2022), 2, https://doi.org/10.2307/j.ctv2vvsx24.</w:t>
      </w:r>
      <w:r w:rsidRPr="008D6943">
        <w:rPr>
          <w:rFonts w:ascii="Cambria" w:hAnsi="Cambria"/>
        </w:rPr>
        <w:fldChar w:fldCharType="end"/>
      </w:r>
    </w:p>
  </w:footnote>
  <w:footnote w:id="44">
    <w:p w14:paraId="56D156A8" w14:textId="5274E99B" w:rsidR="00D059AB" w:rsidRPr="008D6943" w:rsidRDefault="00D059AB" w:rsidP="00D059AB">
      <w:pPr>
        <w:pStyle w:val="TeksCatatanKaki"/>
        <w:jc w:val="both"/>
        <w:rPr>
          <w:rFonts w:ascii="Cambria" w:hAnsi="Cambria"/>
          <w:lang w:val="id-ID"/>
        </w:rPr>
      </w:pPr>
      <w:r w:rsidRPr="008D6943">
        <w:rPr>
          <w:rStyle w:val="ReferensiCatatanKaki"/>
          <w:rFonts w:ascii="Cambria" w:hAnsi="Cambria"/>
        </w:rPr>
        <w:footnoteRef/>
      </w:r>
      <w:r w:rsidRPr="008D6943">
        <w:rPr>
          <w:rFonts w:ascii="Cambria" w:hAnsi="Cambria"/>
        </w:rPr>
        <w:t xml:space="preserve"> </w:t>
      </w:r>
      <w:r w:rsidRPr="008D6943">
        <w:rPr>
          <w:rFonts w:ascii="Cambria" w:hAnsi="Cambria"/>
        </w:rPr>
        <w:fldChar w:fldCharType="begin" w:fldLock="1"/>
      </w:r>
      <w:r w:rsidR="002F07E1">
        <w:rPr>
          <w:rFonts w:ascii="Cambria" w:hAnsi="Cambria"/>
        </w:rPr>
        <w:instrText>ADDIN CSL_CITATION {"citationItems":[{"id":"ITEM-1","itemData":{"DOI":"https://doi.org/10.12730/13091719.2019.101","author":[{"dropping-particle":"","family":"Reynolds","given":"Gabriel Said","non-dropping-particle":"","parse-names":false,"suffix":""}],"id":"ITEM-1","issued":{"date-parts":[["2018"]]},"publisher":"Yale University Press","publisher-place":"New Haven","title":"The Qur'an and the Bible (Text and Commentary)","type":"book"},"locator":"5","uris":["http://www.mendeley.com/documents/?uuid=3f928ac5-bb6e-4c7c-8cbc-ead9976988ab"]}],"mendeley":{"formattedCitation":"Reynolds, &lt;i&gt;The Qur’an and the Bible (Text and Commentary)&lt;/i&gt;, 5.","plainTextFormattedCitation":"Reynolds, The Qur’an and the Bible (Text and Commentary), 5.","previouslyFormattedCitation":"Reynolds, &lt;i&gt;The Qur’an and the Bible (Text and Commentary)&lt;/i&gt;, 5."},"properties":{"noteIndex":44},"schema":"https://github.com/citation-style-language/schema/raw/master/csl-citation.json"}</w:instrText>
      </w:r>
      <w:r w:rsidRPr="008D6943">
        <w:rPr>
          <w:rFonts w:ascii="Cambria" w:hAnsi="Cambria"/>
        </w:rPr>
        <w:fldChar w:fldCharType="separate"/>
      </w:r>
      <w:r w:rsidRPr="008D6943">
        <w:rPr>
          <w:rFonts w:ascii="Cambria" w:hAnsi="Cambria"/>
          <w:bCs/>
          <w:noProof/>
        </w:rPr>
        <w:t xml:space="preserve">Reynolds, </w:t>
      </w:r>
      <w:r w:rsidRPr="008D6943">
        <w:rPr>
          <w:rFonts w:ascii="Cambria" w:hAnsi="Cambria"/>
          <w:bCs/>
          <w:i/>
          <w:noProof/>
        </w:rPr>
        <w:t>The Qur’an and the Bible (Text and Commentary)</w:t>
      </w:r>
      <w:r w:rsidRPr="008D6943">
        <w:rPr>
          <w:rFonts w:ascii="Cambria" w:hAnsi="Cambria"/>
          <w:bCs/>
          <w:noProof/>
        </w:rPr>
        <w:t>, 5.</w:t>
      </w:r>
      <w:r w:rsidRPr="008D6943">
        <w:rPr>
          <w:rFonts w:ascii="Cambria" w:hAnsi="Cambria"/>
        </w:rPr>
        <w:fldChar w:fldCharType="end"/>
      </w:r>
    </w:p>
  </w:footnote>
  <w:footnote w:id="45">
    <w:p w14:paraId="76681FE5" w14:textId="36C43B0A" w:rsidR="00D059AB" w:rsidRPr="008D6943" w:rsidRDefault="00D059AB" w:rsidP="00D059AB">
      <w:pPr>
        <w:pStyle w:val="TeksCatatanKaki"/>
        <w:jc w:val="both"/>
        <w:rPr>
          <w:lang w:val="id-ID"/>
        </w:rPr>
      </w:pPr>
      <w:r w:rsidRPr="008D6943">
        <w:rPr>
          <w:rStyle w:val="ReferensiCatatanKaki"/>
        </w:rPr>
        <w:footnoteRef/>
      </w:r>
      <w:r w:rsidRPr="008D6943">
        <w:rPr>
          <w:lang w:val="id-ID"/>
        </w:rPr>
        <w:t xml:space="preserve"> </w:t>
      </w:r>
      <w:r w:rsidRPr="008D6943">
        <w:fldChar w:fldCharType="begin" w:fldLock="1"/>
      </w:r>
      <w:r w:rsidR="002F07E1">
        <w:rPr>
          <w:lang w:val="id-ID"/>
        </w:rPr>
        <w:instrText>ADDIN CSL_CITATION {"citationItems":[{"id":"ITEM-1","itemData":{"DOI":"10.21580/teo.2017.28.2.1443","ISSN":"2540-847X","abstract":"Abstract: Munāsabah al-Qur’ān is a part of ‘Ulūm al-Qur’ān which presents pros and contrast. The pros ulama makes munāsabah as a method to reveal enigma system of Quran verses and chapter. The structure of the Quran’s verses and chapters seems to leap and are not connected each other. But for ulama who are contra to munāsabah, this success considered as a subjective product which did not put munāsabah tafsīr as ḥujja tafsīr automatically. As a questionious Quran’s knowl­edge, munāsabah has become a tafsīr method al-Qur’ān bi ’l-Qur’ān (textual relations in the Quran) which is in the highest position in the hierarchy of tafsīr bi ’l-ma’thūr with the highest ḥujja (a binding proof) status. Quranic exegesis is called ma’thūr if it is based upon the traditions of the Prophet, his Companions, and the immediate Successors of the Companions. The active subject as athīr in the tafsīr bi ’l-ma’thūr is the prophet in the tafsīr al-Qur’ān bi ’l-Ḥadīth; Com­panions in the tafsīr al-Qur’ān bi aqwāl al-ṣahāba; and tābi’īn ‘the immediate Successors of the Companions’ in the tafsīr al-Qur’ān bi aqwāl al-tābi’īn which the explanation or behavior is athar which is made as the base (ma’thūr) of the interpretation. But what about the exegesis of al-Qur’ān bi ’l-Qur’ān: is Allah as the active subject or a Quranic naṣ? If Allah, of course, he delivers it through the prophet and it belongs to tafsīr al-Qur’ān bi ’l-Ḥadīth category. If Allah analogically through al-Qur’ān naṣ truly, so does this al-Qur’ān naṣ automatically become the base of another al-Qur’ān naṣ or it still needs the help of an interpreter? This question becomes an epistemological problem of tafsīr al-Qur’ān bi ’l-Qur’ān through the helping knowledge, it is munā­sabah al-Qur'an. The formulation of the problem in this paper, firstly, how the method of munāsabah operates in the al-Qur’ān bi ’l-Qur’ān interpretation. Secondly, what is the impact of the munāsabah method works on the status of the al-Qur’ān bi ’l-Qur’ān interpretation. The result, firstly, the method of munāsabah used to explain one verse against another, is ijtihādy; and secondly, it affects to the ma’thūr and ḥujja status of the al-Qur’ān bi ’l-Qur’ān interpretation which has been getting the top spot in the hierarchy of inter­pretation bi ’l-ma'thūr so that necessary reformulation Quranic inter­pretation bi ’l-ma'thūr.Abstrak: Munāsabah al-Qur’ān termasuk bagian dari ‘Ulūm al-Qur’ān yang mengundang pro dan kontra. Ulama yang pro menjadikan munā…","author":[{"dropping-particle":"","family":"Affani","given":"Syukron","non-dropping-particle":"","parse-names":false,"suffix":""}],"container-title":"Jurnal THEOLOGIA","id":"ITEM-1","issue":"2","issued":{"date-parts":[["2018","2","20"]]},"page":"391-418","title":"DISKURSUS MUNĀSABAH: Problem Tafsīr al-Qur’ān bi ’l-Qur’ān","type":"article-journal","volume":"28"},"locator":"416","prefix":"With regard to munāsabah, theoretically this method occupies the top position in the hierarchy of Qur'anic interpretation, namely tafsīr al-qur'ān bi al-qur'ān. However, the subjectivity of the mufasir becomes the dominant factor in interpreting the relationship between the verses. In response to this problem, Affani reiterates al-Ṭayyār's formulation that as long as there is no recorded interpretation practice in the hadith or ātsār, the interpretation of munāsabah by the mufasir is considered as ijtihad. However, interpretations that are limited to the innertext will reduce the accuracy of the meaning. Therefore, in order to strengthen the argument, the mufasir adds historical-based analyses.","uris":["http://www.mendeley.com/documents/?uuid=54bf961e-ffdb-401e-a6c0-6d0758b0fc59"]}],"mendeley":{"formattedCitation":"With regard to munāsabah, theoretically this method occupies the top position in the hierarchy of Qur’anic interpretation, namely tafsīr al-qur’ān bi al-qur’ān. However, the subjectivity of the mufasir becomes the dominant factor in interpreting the relationship between the verses. In response to this problem, Affani reiterates al-Ṭayyār’s formulation that as long as there is no recorded interpretation practice in the hadith or ātsār, the interpretation of munāsabah by the mufasir is considered as ijtihad. However, interpretations that are limited to the innertext will reduce the accuracy of the meaning. Therefore, in order to strengthen the argument, the mufasir adds historical-based analyses. Syukron Affani, “DISKURSUS MUNĀSABAH: Problem Tafsīr al-Qur’ān bi ’l-Qur’ān,” &lt;i&gt;Jurnal THEOLOGIA&lt;/i&gt; 28, no. 2 (20 Februari 2018): 416, https://doi.org/10.21580/teo.2017.28.2.1443.","plainTextFormattedCitation":"With regard to munāsabah, theoretically this method occupies the top position in the hierarchy of Qur’anic interpretation, namely tafsīr al-qur’ān bi al-qur’ān. However, the subjectivity of the mufasir becomes the dominant factor in interpreting the relationship between the verses. In response to this problem, Affani reiterates al-Ṭayyār’s formulation that as long as there is no recorded interpretation practice in the hadith or ātsār, the interpretation of munāsabah by the mufasir is considered as ijtihad. However, interpretations that are limited to the innertext will reduce the accuracy of the meaning. Therefore, in order to strengthen the argument, the mufasir adds historical-based analyses. Syukron Affani, “DISKURSUS MUNĀSABAH: Problem Tafsīr al-Qur’ān bi ’l-Qur’ān,” Jurnal THEOLOGIA 28, no. 2 (20 Februari 2018): 416, https://doi.org/10.21580/teo.2017.28.2.1443.","previouslyFormattedCitation":"With regard to munāsabah, theoretically this method occupies the top position in the hierarchy of Qur’anic interpretation, namely tafsīr al-qur’ān bi al-qur’ān. However, the subjectivity of the mufasir becomes the dominant factor in interpreting the relationship between the verses. In response to this problem, Affani reiterates al-Ṭayyār’s formulation that as long as there is no recorded interpretation practice in the hadith or ātsār, the interpretation of munāsabah by the mufasir is considered as ijtihad. However, interpretations that are limited to the innertext will reduce the accuracy of the meaning. Therefore, in order to strengthen the argument, the mufasir adds historical-based analyses. Syukron Affani, “DISKURSUS MUNĀSABAH: Problem Tafsīr al-Qur’ān bi ’l-Qur’ān,” &lt;i&gt;Jurnal THEOLOGIA&lt;/i&gt; 28, no. 2 (20 Februari 2018): 416, https://doi.org/10.21580/teo.2017.28.2.1443."},"properties":{"noteIndex":45},"schema":"https://github.com/citation-style-language/schema/raw/master/csl-citation.json"}</w:instrText>
      </w:r>
      <w:r w:rsidRPr="008D6943">
        <w:fldChar w:fldCharType="separate"/>
      </w:r>
      <w:r w:rsidR="00DD36CA" w:rsidRPr="00DD36CA">
        <w:rPr>
          <w:noProof/>
          <w:lang w:val="id-ID"/>
        </w:rPr>
        <w:t xml:space="preserve">With regard to munāsabah, theoretically this method occupies the top position in the hierarchy of Qur’anic interpretation, namely tafsīr al-qur’ān bi al-qur’ān. However, the subjectivity of the mufasir becomes the dominant factor in interpreting the relationship between the verses. In response to this problem, Affani reiterates al-Ṭayyār’s formulation that as long as there is no recorded interpretation practice in the hadith or ātsār, the interpretation of munāsabah by the mufasir is considered as ijtihad. However, interpretations that are limited to the innertext will reduce the accuracy of the meaning. Therefore, in order to strengthen the argument, the mufasir adds historical-based analyses. Syukron Affani, “DISKURSUS MUNĀSABAH: Problem Tafsīr al-Qur’ān bi ’l-Qur’ān,” </w:t>
      </w:r>
      <w:r w:rsidR="00DD36CA" w:rsidRPr="00DD36CA">
        <w:rPr>
          <w:i/>
          <w:noProof/>
          <w:lang w:val="id-ID"/>
        </w:rPr>
        <w:t>Jurnal THEOLOGIA</w:t>
      </w:r>
      <w:r w:rsidR="00DD36CA" w:rsidRPr="00DD36CA">
        <w:rPr>
          <w:noProof/>
          <w:lang w:val="id-ID"/>
        </w:rPr>
        <w:t xml:space="preserve"> 28, no. 2 (20 Februari 2018): 416, https://doi.org/10.21580/teo.2017.28.2.1443.</w:t>
      </w:r>
      <w:r w:rsidRPr="008D6943">
        <w:fldChar w:fldCharType="end"/>
      </w:r>
    </w:p>
  </w:footnote>
  <w:footnote w:id="46">
    <w:p w14:paraId="68797CF3" w14:textId="5313AD06" w:rsidR="005527EB" w:rsidRPr="008D6943" w:rsidRDefault="005527EB" w:rsidP="005527EB">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{"citationItems":[{"id":"ITEM-1","itemData":{"author":[{"dropping-particle":"","family":"Al-Razi","given":"Fakhruddin","non-dropping-particle":"","parse-names":false,"suffix":""}],"edition":"cet. III","id":"ITEM-1","issued":{"date-parts":[["2000"]]},"number-of-pages":"343","publisher":"Dar Ihya' al-Turas al-'Araby","publisher-place":"Beirut","title":"Mafatih al-Ghaib","type":"book"},"locator":"343","uris":["http://www.mendeley.com/documents/?uuid=baa3b376-47fd-4228-ac34-5d9782b65080"]}],"mendeley":{"formattedCitation":"Al-Razi, &lt;i&gt;Mafatih al-Ghaib&lt;/i&gt;, 343.","plainTextFormattedCitation":"Al-Razi, Mafatih al-Ghaib, 343.","previouslyFormattedCitation":"Al-Razi, &lt;i&gt;Mafatih al-Ghaib&lt;/i&gt;, 343."},"properties":{"noteIndex":46},"schema":"https://github.com/citation-style-language/schema/raw/master/csl-citation.json"}</w:instrText>
      </w:r>
      <w:r w:rsidRPr="008D6943">
        <w:fldChar w:fldCharType="separate"/>
      </w:r>
      <w:r w:rsidRPr="008D6943">
        <w:rPr>
          <w:noProof/>
        </w:rPr>
        <w:t xml:space="preserve">Al-Razi, </w:t>
      </w:r>
      <w:r w:rsidRPr="008D6943">
        <w:rPr>
          <w:i/>
          <w:noProof/>
        </w:rPr>
        <w:t>Mafatih al-Ghaib</w:t>
      </w:r>
      <w:r w:rsidRPr="008D6943">
        <w:rPr>
          <w:noProof/>
        </w:rPr>
        <w:t>, 343.</w:t>
      </w:r>
      <w:r w:rsidRPr="008D6943">
        <w:fldChar w:fldCharType="end"/>
      </w:r>
    </w:p>
  </w:footnote>
  <w:footnote w:id="47">
    <w:p w14:paraId="4D87418E" w14:textId="273B09E1" w:rsidR="005527EB" w:rsidRPr="008D6943" w:rsidRDefault="005527EB" w:rsidP="005527EB">
      <w:pPr>
        <w:pStyle w:val="TeksCatatanKaki"/>
        <w:jc w:val="both"/>
        <w:rPr>
          <w:lang w:val="id-ID"/>
        </w:rPr>
      </w:pPr>
      <w:r w:rsidRPr="008D6943">
        <w:rPr>
          <w:rStyle w:val="ReferensiCatatanKaki"/>
        </w:rPr>
        <w:footnoteRef/>
      </w:r>
      <w:r w:rsidRPr="008D6943">
        <w:rPr>
          <w:lang w:val="id-ID"/>
        </w:rPr>
        <w:t xml:space="preserve"> </w:t>
      </w:r>
      <w:r w:rsidRPr="008D6943">
        <w:fldChar w:fldCharType="begin" w:fldLock="1"/>
      </w:r>
      <w:r w:rsidR="002F07E1">
        <w:rPr>
          <w:lang w:val="id-ID"/>
        </w:rPr>
        <w:instrText>ADDIN CSL_CITATION {"citationItems":[{"id":"ITEM-1","itemData":{"author":[{"dropping-particle":"","family":"Al-Biqa'i","given":"Ibrahim bin 'Umar","non-dropping-particle":"","parse-names":false,"suffix":""}],"id":"ITEM-1","issued":{"date-parts":[["1995"]]},"publisher":"Dar Al-Kutub Al-Il'miyyah","publisher-place":"Beirut","title":"Nazm Al-Durar fi Tanasub Al-Ayat wa Al-Suwar, Jilid 2","type":"book"},"locator":"449","uris":["http://www.mendeley.com/documents/?uuid=d227117e-c859-4c25-a7f6-6f31643bdf3c"]}],"mendeley":{"formattedCitation":"Ibrahim bin ’Umar Al-Biqa’i, &lt;i&gt;Nazm Al-Durar fi Tanasub Al-Ayat wa Al-Suwar, Jilid 2&lt;/i&gt; (Beirut: Dar Al-Kutub Al-Il’miyyah, 1995), 449.","plainTextFormattedCitation":"Ibrahim bin ’Umar Al-Biqa’i, Nazm Al-Durar fi Tanasub Al-Ayat wa Al-Suwar, Jilid 2 (Beirut: Dar Al-Kutub Al-Il’miyyah, 1995), 449.","previouslyFormattedCitation":"Ibrahim bin ’Umar Al-Biqa’i, &lt;i&gt;Nazm Al-Durar fi Tanasub Al-Ayat wa Al-Suwar, Jilid 2&lt;/i&gt; (Beirut: Dar Al-Kutub Al-Il’miyyah, 1995), 449."},"properties":{"noteIndex":47},"schema":"https://github.com/citation-style-language/schema/raw/master/csl-citation.json"}</w:instrText>
      </w:r>
      <w:r w:rsidRPr="008D6943">
        <w:fldChar w:fldCharType="separate"/>
      </w:r>
      <w:r w:rsidRPr="008D6943">
        <w:rPr>
          <w:noProof/>
          <w:lang w:val="id-ID"/>
        </w:rPr>
        <w:t xml:space="preserve">Ibrahim bin ’Umar Al-Biqa’i, </w:t>
      </w:r>
      <w:r w:rsidRPr="008D6943">
        <w:rPr>
          <w:i/>
          <w:noProof/>
          <w:lang w:val="id-ID"/>
        </w:rPr>
        <w:t>Nazm Al-Durar fi Tanasub Al-Ayat wa Al-Suwar, Jilid 2</w:t>
      </w:r>
      <w:r w:rsidRPr="008D6943">
        <w:rPr>
          <w:noProof/>
          <w:lang w:val="id-ID"/>
        </w:rPr>
        <w:t xml:space="preserve"> (Beirut: Dar Al-Kutub Al-Il’miyyah, 1995), 449.</w:t>
      </w:r>
      <w:r w:rsidRPr="008D6943">
        <w:fldChar w:fldCharType="end"/>
      </w:r>
    </w:p>
  </w:footnote>
  <w:footnote w:id="48">
    <w:p w14:paraId="30D58E2F" w14:textId="5A29C2B4" w:rsidR="005527EB" w:rsidRPr="008D6943" w:rsidRDefault="005527EB" w:rsidP="005527EB">
      <w:pPr>
        <w:pStyle w:val="TeksCatatanKaki"/>
        <w:jc w:val="both"/>
        <w:rPr>
          <w:lang w:val="id-ID"/>
        </w:rPr>
      </w:pPr>
      <w:r w:rsidRPr="008D6943">
        <w:rPr>
          <w:rStyle w:val="ReferensiCatatanKaki"/>
        </w:rPr>
        <w:footnoteRef/>
      </w:r>
      <w:r w:rsidRPr="008D6943">
        <w:rPr>
          <w:lang w:val="id-ID"/>
        </w:rPr>
        <w:t xml:space="preserve"> </w:t>
      </w:r>
      <w:r w:rsidRPr="008D6943">
        <w:fldChar w:fldCharType="begin" w:fldLock="1"/>
      </w:r>
      <w:r w:rsidR="002F07E1">
        <w:rPr>
          <w:lang w:val="id-ID"/>
        </w:rPr>
        <w:instrText>ADDIN CSL_CITATION {"citationItems":[{"id":"ITEM-1","itemData":{"author":[{"dropping-particle":"","family":"Al-Qurtubiy","given":"Muhammad bin Ahmad","non-dropping-particle":"","parse-names":false,"suffix":""}],"id":"ITEM-1","issued":{"date-parts":[["1964"]]},"publisher":"Dar Al-Kutub Al-Misriyyah","publisher-place":"Kairo","title":"Al-Jami' li Ahkam Al-Qur'an, Jil. 4","type":"book"},"locator":"146","uris":["http://www.mendeley.com/documents/?uuid=cc00d69e-d76d-408a-b18a-8045c91d401d"]}],"mendeley":{"formattedCitation":"Muhammad bin Ahmad Al-Qurtubiy, &lt;i&gt;Al-Jami’ li Ahkam Al-Qur’an, Jil. 4&lt;/i&gt; (Kairo: Dar Al-Kutub Al-Misriyyah, 1964), 146.","plainTextFormattedCitation":"Muhammad bin Ahmad Al-Qurtubiy, Al-Jami’ li Ahkam Al-Qur’an, Jil. 4 (Kairo: Dar Al-Kutub Al-Misriyyah, 1964), 146.","previouslyFormattedCitation":"Muhammad bin Ahmad Al-Qurtubiy, &lt;i&gt;Al-Jami’ li Ahkam Al-Qur’an, Jil. 4&lt;/i&gt; (Kairo: Dar Al-Kutub Al-Misriyyah, 1964), 146."},"properties":{"noteIndex":48},"schema":"https://github.com/citation-style-language/schema/raw/master/csl-citation.json"}</w:instrText>
      </w:r>
      <w:r w:rsidRPr="008D6943">
        <w:fldChar w:fldCharType="separate"/>
      </w:r>
      <w:r w:rsidR="00A01FCA" w:rsidRPr="00A01FCA">
        <w:rPr>
          <w:noProof/>
          <w:lang w:val="id-ID"/>
        </w:rPr>
        <w:t xml:space="preserve">Muhammad bin Ahmad Al-Qurtubiy, </w:t>
      </w:r>
      <w:r w:rsidR="00A01FCA" w:rsidRPr="00A01FCA">
        <w:rPr>
          <w:i/>
          <w:noProof/>
          <w:lang w:val="id-ID"/>
        </w:rPr>
        <w:t>Al-Jami’ li Ahkam Al-Qur’an, Jil. 4</w:t>
      </w:r>
      <w:r w:rsidR="00A01FCA" w:rsidRPr="00A01FCA">
        <w:rPr>
          <w:noProof/>
          <w:lang w:val="id-ID"/>
        </w:rPr>
        <w:t xml:space="preserve"> (Kairo: Dar Al-Kutub Al-Misriyyah, 1964), 146.</w:t>
      </w:r>
      <w:r w:rsidRPr="008D6943">
        <w:fldChar w:fldCharType="end"/>
      </w:r>
    </w:p>
  </w:footnote>
  <w:footnote w:id="49">
    <w:p w14:paraId="21912082" w14:textId="7797DA14" w:rsidR="005527EB" w:rsidRPr="008D6943" w:rsidRDefault="005527EB" w:rsidP="005527EB">
      <w:pPr>
        <w:pStyle w:val="TeksCatatanKaki"/>
        <w:jc w:val="both"/>
        <w:rPr>
          <w:lang w:val="id-ID"/>
        </w:rPr>
      </w:pPr>
      <w:r w:rsidRPr="008D6943">
        <w:rPr>
          <w:rStyle w:val="ReferensiCatatanKaki"/>
        </w:rPr>
        <w:footnoteRef/>
      </w:r>
      <w:r w:rsidRPr="00A01FCA">
        <w:rPr>
          <w:lang w:val="id-ID"/>
        </w:rPr>
        <w:t xml:space="preserve"> </w:t>
      </w:r>
      <w:r w:rsidRPr="008D6943">
        <w:fldChar w:fldCharType="begin" w:fldLock="1"/>
      </w:r>
      <w:r w:rsidR="002F07E1">
        <w:rPr>
          <w:lang w:val="id-ID"/>
        </w:rPr>
        <w:instrText>ADDIN CSL_CITATION {"citationItems":[{"id":"ITEM-1","itemData":{"author":[{"dropping-particle":"","family":"Darwazah","given":"Muhammad 'Izzah","non-dropping-particle":"","parse-names":false,"suffix":""}],"container-title":"Al-Maktabah Al-Syāmilah","id":"ITEM-1","issued":{"date-parts":[["1971"]]},"publisher":"Dar Ihya Al-Kutub Al-'Arabiyah","publisher-place":"Kairo","title":"Al-Tafsir Al-Hadits","type":"book","volume":"3"},"label":"volume","locator":"9, h. 99","uris":["http://www.mendeley.com/documents/?uuid=ef3095d8-889f-400c-9495-22449982a3be"]}],"mendeley":{"formattedCitation":"Muhammad ’Izzah Darwazah, &lt;i&gt;Al-Tafsir Al-Hadits&lt;/i&gt;, &lt;i&gt;Al-Maktabah Al-Syāmilah&lt;/i&gt;, vol. 3 (Kairo: Dar Ihya Al-Kutub Al-’Arabiyah, 1971), vol. 9, h. 99.","plainTextFormattedCitation":"Muhammad ’Izzah Darwazah, Al-Tafsir Al-Hadits, Al-Maktabah Al-Syāmilah, vol. 3 (Kairo: Dar Ihya Al-Kutub Al-’Arabiyah, 1971), vol. 9, h. 99.","previouslyFormattedCitation":"Muhammad ’Izzah Darwazah, &lt;i&gt;Al-Tafsir Al-Hadits&lt;/i&gt;, &lt;i&gt;Al-Maktabah Al-Syāmilah&lt;/i&gt;, vol. 3 (Kairo: Dar Ihya Al-Kutub Al-’Arabiyah, 1971), vol. 9, h. 99."},"properties":{"noteIndex":49},"schema":"https://github.com/citation-style-language/schema/raw/master/csl-citation.json"}</w:instrText>
      </w:r>
      <w:r w:rsidRPr="008D6943">
        <w:fldChar w:fldCharType="separate"/>
      </w:r>
      <w:r w:rsidR="00A01FCA" w:rsidRPr="00A01FCA">
        <w:rPr>
          <w:noProof/>
          <w:lang w:val="id-ID"/>
        </w:rPr>
        <w:t xml:space="preserve">Muhammad ’Izzah Darwazah, </w:t>
      </w:r>
      <w:r w:rsidR="00A01FCA" w:rsidRPr="00A01FCA">
        <w:rPr>
          <w:i/>
          <w:noProof/>
          <w:lang w:val="id-ID"/>
        </w:rPr>
        <w:t>Al-Tafsir Al-Hadits</w:t>
      </w:r>
      <w:r w:rsidR="00A01FCA" w:rsidRPr="00A01FCA">
        <w:rPr>
          <w:noProof/>
          <w:lang w:val="id-ID"/>
        </w:rPr>
        <w:t xml:space="preserve">, </w:t>
      </w:r>
      <w:r w:rsidR="00A01FCA" w:rsidRPr="00A01FCA">
        <w:rPr>
          <w:i/>
          <w:noProof/>
          <w:lang w:val="id-ID"/>
        </w:rPr>
        <w:t>Al-Maktabah Al-Syāmilah</w:t>
      </w:r>
      <w:r w:rsidR="00A01FCA" w:rsidRPr="00A01FCA">
        <w:rPr>
          <w:noProof/>
          <w:lang w:val="id-ID"/>
        </w:rPr>
        <w:t>, vol. 3 (Kairo: Dar Ihya Al-Kutub Al-’Arabiyah, 1971), vol. 9, h. 99.</w:t>
      </w:r>
      <w:r w:rsidRPr="008D6943">
        <w:fldChar w:fldCharType="end"/>
      </w:r>
    </w:p>
  </w:footnote>
  <w:footnote w:id="50">
    <w:p w14:paraId="4901E232" w14:textId="4C5E0017" w:rsidR="005527EB" w:rsidRPr="008D6943" w:rsidRDefault="005527EB" w:rsidP="005527EB">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{"citationItems":[{"id":"ITEM-1","itemData":{"author":[{"dropping-particle":"","family":"Darwazah","given":"Muhammad 'Izzah","non-dropping-particle":"","parse-names":false,"suffix":""}],"container-title":"Al-Maktabah Al-Syāmilah","id":"ITEM-1","issued":{"date-parts":[["1971"]]},"publisher":"Dar Ihya Al-Kutub Al-'Arabiyah","publisher-place":"Kairo","title":"Al-Tafsir Al-Hadits","type":"book","volume":"3"},"label":"volume","locator":"9, h. 99-100","uris":["http://www.mendeley.com/documents/?uuid=ef3095d8-889f-400c-9495-22449982a3be"]}],"mendeley":{"formattedCitation":"Darwazah, vol. 3, vol. 9, h. 99–100.","plainTextFormattedCitation":"Darwazah, vol. 3, vol. 9, h. 99–100.","previouslyFormattedCitation":"Darwazah, vol. 3, vol. 9, h. 99–100."},"properties":{"noteIndex":50},"schema":"https://github.com/citation-style-language/schema/raw/master/csl-citation.json"}</w:instrText>
      </w:r>
      <w:r w:rsidRPr="008D6943">
        <w:fldChar w:fldCharType="separate"/>
      </w:r>
      <w:r w:rsidR="00A01FCA" w:rsidRPr="00A01FCA">
        <w:rPr>
          <w:noProof/>
        </w:rPr>
        <w:t>Darwazah, vol. 3, vol. 9, h. 99–100.</w:t>
      </w:r>
      <w:r w:rsidRPr="008D6943">
        <w:fldChar w:fldCharType="end"/>
      </w:r>
    </w:p>
  </w:footnote>
  <w:footnote w:id="51">
    <w:p w14:paraId="58A5B44E" w14:textId="39413D0D" w:rsidR="00431432" w:rsidRPr="008D6943" w:rsidRDefault="00431432" w:rsidP="00431432">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{"citationItems":[{"id":"ITEM-1","itemData":{"author":[{"dropping-particle":"","family":"Darwazah","given":"Muhammad 'Izzah","non-dropping-particle":"","parse-names":false,"suffix":""}],"container-title":"Al-Maktabah Al-Syāmilah","id":"ITEM-1","issued":{"date-parts":[["1971"]]},"publisher":"Dar Ihya Al-Kutub Al-'Arabiyah","publisher-place":"Kairo","title":"Al-Tafsir Al-Hadits","type":"book","volume":"3"},"label":"volume","locator":"9, h. 7-8","uris":["http://www.mendeley.com/documents/?uuid=ef3095d8-889f-400c-9495-22449982a3be"]}],"mendeley":{"formattedCitation":"Darwazah, vol. 3, vol. 9, h. 7–8.","plainTextFormattedCitation":"Darwazah, vol. 3, vol. 9, h. 7–8.","previouslyFormattedCitation":"Darwazah, vol. 3, vol. 9, h. 7–8."},"properties":{"noteIndex":51},"schema":"https://github.com/citation-style-language/schema/raw/master/csl-citation.json"}</w:instrText>
      </w:r>
      <w:r w:rsidRPr="008D6943">
        <w:fldChar w:fldCharType="separate"/>
      </w:r>
      <w:r w:rsidR="00A01FCA" w:rsidRPr="00A01FCA">
        <w:rPr>
          <w:noProof/>
        </w:rPr>
        <w:t>Darwazah, vol. 3, vol. 9, h. 7–8.</w:t>
      </w:r>
      <w:r w:rsidRPr="008D6943">
        <w:fldChar w:fldCharType="end"/>
      </w:r>
    </w:p>
  </w:footnote>
  <w:footnote w:id="52">
    <w:p w14:paraId="26BC682E" w14:textId="3C13A90F" w:rsidR="00431432" w:rsidRPr="008D6943" w:rsidRDefault="00431432" w:rsidP="00431432">
      <w:pPr>
        <w:pStyle w:val="TeksCatatanKaki"/>
        <w:jc w:val="both"/>
        <w:rPr>
          <w:lang w:val="id-ID"/>
        </w:rPr>
      </w:pPr>
      <w:r w:rsidRPr="008D6943">
        <w:rPr>
          <w:rStyle w:val="ReferensiCatatanKaki"/>
        </w:rPr>
        <w:footnoteRef/>
      </w:r>
      <w:r w:rsidRPr="008D6943">
        <w:rPr>
          <w:lang w:val="id-ID"/>
        </w:rPr>
        <w:t xml:space="preserve"> </w:t>
      </w:r>
      <w:r w:rsidRPr="008D6943">
        <w:fldChar w:fldCharType="begin" w:fldLock="1"/>
      </w:r>
      <w:r w:rsidR="002F07E1">
        <w:rPr>
          <w:lang w:val="id-ID"/>
        </w:rPr>
        <w:instrText>ADDIN CSL_CITATION {"citationItems":[{"id":"ITEM-1","itemData":{"author":[{"dropping-particle":"","family":"Darwazah","given":"Muhammad 'Izzah","non-dropping-particle":"","parse-names":false,"suffix":""}],"container-title":"Al-Maktabah Al-Syāmilah","id":"ITEM-1","issued":{"date-parts":[["1971"]]},"publisher":"Dar Ihya Al-Kutub Al-'Arabiyah","publisher-place":"Kairo","title":"Al-Tafsir Al-Hadits","type":"book","volume":"3"},"label":"volume","locator":"9, h. 89","uris":["http://www.mendeley.com/documents/?uuid=ef3095d8-889f-400c-9495-22449982a3be"]}],"mendeley":{"formattedCitation":"Darwazah, vol. 3, vol. 9, h. 89.","plainTextFormattedCitation":"Darwazah, vol. 3, vol. 9, h. 89.","previouslyFormattedCitation":"Darwazah, vol. 3, vol. 9, h. 89."},"properties":{"noteIndex":52},"schema":"https://github.com/citation-style-language/schema/raw/master/csl-citation.json"}</w:instrText>
      </w:r>
      <w:r w:rsidRPr="008D6943">
        <w:fldChar w:fldCharType="separate"/>
      </w:r>
      <w:r w:rsidR="00A01FCA" w:rsidRPr="00A01FCA">
        <w:rPr>
          <w:noProof/>
          <w:lang w:val="id-ID"/>
        </w:rPr>
        <w:t>Darwazah, vol. 3, vol. 9, h. 89.</w:t>
      </w:r>
      <w:r w:rsidRPr="008D6943">
        <w:fldChar w:fldCharType="end"/>
      </w:r>
    </w:p>
  </w:footnote>
  <w:footnote w:id="53">
    <w:p w14:paraId="2137FEED" w14:textId="4768A1DF" w:rsidR="00431432" w:rsidRPr="008D6943" w:rsidRDefault="00431432" w:rsidP="00431432">
      <w:pPr>
        <w:pStyle w:val="TeksCatatanKaki"/>
        <w:jc w:val="both"/>
        <w:rPr>
          <w:lang w:val="id-ID"/>
        </w:rPr>
      </w:pPr>
      <w:r w:rsidRPr="008D6943">
        <w:rPr>
          <w:rStyle w:val="ReferensiCatatanKaki"/>
        </w:rPr>
        <w:footnoteRef/>
      </w:r>
      <w:r w:rsidRPr="008D6943">
        <w:rPr>
          <w:lang w:val="id-ID"/>
        </w:rPr>
        <w:t xml:space="preserve"> </w:t>
      </w:r>
      <w:r w:rsidRPr="008D6943">
        <w:fldChar w:fldCharType="begin" w:fldLock="1"/>
      </w:r>
      <w:r w:rsidR="002F07E1">
        <w:rPr>
          <w:lang w:val="id-ID"/>
        </w:rPr>
        <w:instrText>ADDIN CSL_CITATION {"citationItems":[{"id":"ITEM-1","itemData":{"author":[{"dropping-particle":"","family":"Al-Ṭabari","given":"Muhammad bin Jarir","non-dropping-particle":"","parse-names":false,"suffix":""}],"container-title":"Al-Maktabah Al-Syāmilah","id":"ITEM-1","issued":{"date-parts":[["2000"]]},"publisher":"Mu'assasah Al-Risalah","publisher-place":"Beirut","title":"Jami' Al-Bayan fi Ta'wil Al-Qur'an, Jil. 3","type":"book"},"locator":"251","uris":["http://www.mendeley.com/documents/?uuid=2d48c5e8-62b9-4c4c-b1e5-1199840b5ecb"]}],"mendeley":{"formattedCitation":"Muhammad bin Jarir Al-Ṭabari, &lt;i&gt;Jami’ Al-Bayan fi Ta’wil Al-Qur’an, Jil. 3&lt;/i&gt;, &lt;i&gt;Al-Maktabah Al-Syāmilah&lt;/i&gt; (Beirut: Mu’assasah Al-Risalah, 2000), 251.","plainTextFormattedCitation":"Muhammad bin Jarir Al-Ṭabari, Jami’ Al-Bayan fi Ta’wil Al-Qur’an, Jil. 3, Al-Maktabah Al-Syāmilah (Beirut: Mu’assasah Al-Risalah, 2000), 251.","previouslyFormattedCitation":"Muhammad bin Jarir Al-Ṭabari, &lt;i&gt;Jami’ Al-Bayan fi Ta’wil Al-Qur’an, Jil. 3&lt;/i&gt;, &lt;i&gt;Al-Maktabah Al-Syāmilah&lt;/i&gt; (Beirut: Mu’assasah Al-Risalah, 2000), 251."},"properties":{"noteIndex":53},"schema":"https://github.com/citation-style-language/schema/raw/master/csl-citation.json"}</w:instrText>
      </w:r>
      <w:r w:rsidRPr="008D6943">
        <w:fldChar w:fldCharType="separate"/>
      </w:r>
      <w:r w:rsidR="00A01FCA" w:rsidRPr="00A01FCA">
        <w:rPr>
          <w:noProof/>
          <w:lang w:val="id-ID"/>
        </w:rPr>
        <w:t xml:space="preserve">Muhammad bin Jarir Al-Ṭabari, </w:t>
      </w:r>
      <w:r w:rsidR="00A01FCA" w:rsidRPr="00A01FCA">
        <w:rPr>
          <w:i/>
          <w:noProof/>
          <w:lang w:val="id-ID"/>
        </w:rPr>
        <w:t>Jami’ Al-Bayan fi Ta’wil Al-Qur’an, Jil. 3</w:t>
      </w:r>
      <w:r w:rsidR="00A01FCA" w:rsidRPr="00A01FCA">
        <w:rPr>
          <w:noProof/>
          <w:lang w:val="id-ID"/>
        </w:rPr>
        <w:t xml:space="preserve">, </w:t>
      </w:r>
      <w:r w:rsidR="00A01FCA" w:rsidRPr="00A01FCA">
        <w:rPr>
          <w:i/>
          <w:noProof/>
          <w:lang w:val="id-ID"/>
        </w:rPr>
        <w:t>Al-Maktabah Al-Syāmilah</w:t>
      </w:r>
      <w:r w:rsidR="00A01FCA" w:rsidRPr="00A01FCA">
        <w:rPr>
          <w:noProof/>
          <w:lang w:val="id-ID"/>
        </w:rPr>
        <w:t xml:space="preserve"> (Beirut: Mu’assasah Al-Risalah, 2000), 251.</w:t>
      </w:r>
      <w:r w:rsidRPr="008D6943">
        <w:fldChar w:fldCharType="end"/>
      </w:r>
    </w:p>
  </w:footnote>
  <w:footnote w:id="54">
    <w:p w14:paraId="7F90B631" w14:textId="4F14CFE0" w:rsidR="00EA09E8" w:rsidRPr="008D6943" w:rsidRDefault="00EA09E8" w:rsidP="00EA09E8">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{"citationItems":[{"id":"ITEM-1","itemData":{"URL":"https://quran.kemenag.go.id","accessed":{"date-parts":[["2022","2","9"]]},"author":[{"dropping-particle":"","family":"LPMQ","given":"Lajnah Pentashih Mushaf Al-Qur'an","non-dropping-particle":"","parse-names":false,"suffix":""}],"container-title":"Kementerian Agama RI","id":"ITEM-1","issued":{"date-parts":[["2022"]]},"title":"Qur'an Kemenag","type":"webpage"},"prefix":"Qs. Al-Maidah: 33","uris":["http://www.mendeley.com/documents/?uuid=afb834ab-76f8-4c49-9fde-65ff5394ae57"]}],"mendeley":{"formattedCitation":"Qs. Al-Maidah: 33 Lajnah Pentashih Mushaf Al-Qur’an LPMQ, “Qur’an Kemenag,” Kementerian Agama RI, 2022, https://quran.kemenag.go.id.","plainTextFormattedCitation":"Qs. Al-Maidah: 33 Lajnah Pentashih Mushaf Al-Qur’an LPMQ, “Qur’an Kemenag,” Kementerian Agama RI, 2022, https://quran.kemenag.go.id.","previouslyFormattedCitation":"Qs. Al-Maidah: 33 Lajnah Pentashih Mushaf Al-Qur’an LPMQ, “Qur’an Kemenag,” Kementerian Agama RI, 2022, https://quran.kemenag.go.id."},"properties":{"noteIndex":54},"schema":"https://github.com/citation-style-language/schema/raw/master/csl-citation.json"}</w:instrText>
      </w:r>
      <w:r w:rsidRPr="008D6943">
        <w:fldChar w:fldCharType="separate"/>
      </w:r>
      <w:r w:rsidR="00A01FCA" w:rsidRPr="00A01FCA">
        <w:rPr>
          <w:noProof/>
        </w:rPr>
        <w:t>Qs. Al-Maidah: 33 Lajnah Pentashih Mushaf Al-Qur’an LPMQ, “Qur’an Kemenag,” Kementerian Agama RI, 2022, https://quran.kemenag.go.id.</w:t>
      </w:r>
      <w:r w:rsidRPr="008D6943">
        <w:fldChar w:fldCharType="end"/>
      </w:r>
    </w:p>
  </w:footnote>
  <w:footnote w:id="55">
    <w:p w14:paraId="5B632CE7" w14:textId="242FB7D1" w:rsidR="00EA09E8" w:rsidRPr="008D6943" w:rsidRDefault="00EA09E8" w:rsidP="00EA09E8">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{"citationItems":[{"id":"ITEM-1","itemData":{"author":[{"dropping-particle":"","family":"Al-Qazwiniy","given":"Muhammad bin Yazid","non-dropping-particle":"","parse-names":false,"suffix":""}],"id":"ITEM-1","issued":{"date-parts":[["0"]]},"publisher":"Dar Al-Fikr","publisher-place":"Beirut","title":"Sunan Ibn Majah","type":"book"},"label":"volume","locator":"2, h. 861","uris":["http://www.mendeley.com/documents/?uuid=2dc1761b-059e-46c5-a828-10f5c74f63ef"]}],"mendeley":{"formattedCitation":"Muhammad bin Yazid Al-Qazwiniy, &lt;i&gt;Sunan Ibn Majah&lt;/i&gt; (Beirut: Dar Al-Fikr, n.d.), vol. 2, h. 861.","plainTextFormattedCitation":"Muhammad bin Yazid Al-Qazwiniy, Sunan Ibn Majah (Beirut: Dar Al-Fikr, n.d.), vol. 2, h. 861.","previouslyFormattedCitation":"Muhammad bin Yazid Al-Qazwiniy, &lt;i&gt;Sunan Ibn Majah&lt;/i&gt; (Beirut: Dar Al-Fikr, n.d.), vol. 2, h. 861."},"properties":{"noteIndex":55},"schema":"https://github.com/citation-style-language/schema/raw/master/csl-citation.json"}</w:instrText>
      </w:r>
      <w:r w:rsidRPr="008D6943">
        <w:fldChar w:fldCharType="separate"/>
      </w:r>
      <w:r w:rsidRPr="008D6943">
        <w:rPr>
          <w:noProof/>
        </w:rPr>
        <w:t xml:space="preserve">Muhammad bin Yazid Al-Qazwiniy, </w:t>
      </w:r>
      <w:r w:rsidRPr="008D6943">
        <w:rPr>
          <w:i/>
          <w:noProof/>
        </w:rPr>
        <w:t>Sunan Ibn Majah</w:t>
      </w:r>
      <w:r w:rsidRPr="008D6943">
        <w:rPr>
          <w:noProof/>
        </w:rPr>
        <w:t xml:space="preserve"> (Beirut: Dar Al-Fikr, n.d.), vol. 2, h. 861.</w:t>
      </w:r>
      <w:r w:rsidRPr="008D6943">
        <w:fldChar w:fldCharType="end"/>
      </w:r>
    </w:p>
  </w:footnote>
  <w:footnote w:id="56">
    <w:p w14:paraId="04790236" w14:textId="50A53485" w:rsidR="00EA09E8" w:rsidRPr="008D6943" w:rsidRDefault="00EA09E8" w:rsidP="00EA09E8">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{"citationItems":[{"id":"ITEM-1","itemData":{"author":[{"dropping-particle":"","family":"Al-Ṭabari","given":"Muhammad bin Jarir","non-dropping-particle":"","parse-names":false,"suffix":""}],"container-title":"Al-Maktabah Al-Syāmilah","id":"ITEM-1","issued":{"date-parts":[["2000"]]},"publisher":"Mu'assasah Al-Risalah","publisher-place":"Beirut","title":"Jami' Al-Bayan fi Ta'wil Al-Qur'an, Jil. 3","type":"book"},"label":"volume","locator":"10, h. 252-253","uris":["http://www.mendeley.com/documents/?uuid=2d48c5e8-62b9-4c4c-b1e5-1199840b5ecb"]}],"mendeley":{"formattedCitation":"Al-Ṭabari, &lt;i&gt;Jami’ Al-Bayan fi Ta’wil Al-Qur’an, Jil. 3&lt;/i&gt;, vol. 10, h. 252–253.","plainTextFormattedCitation":"Al-Ṭabari, Jami’ Al-Bayan fi Ta’wil Al-Qur’an, Jil. 3, vol. 10, h. 252–253.","previouslyFormattedCitation":"Al-Ṭabari, &lt;i&gt;Jami’ Al-Bayan fi Ta’wil Al-Qur’an, Jil. 3&lt;/i&gt;, vol. 10, h. 252–253."},"properties":{"noteIndex":56},"schema":"https://github.com/citation-style-language/schema/raw/master/csl-citation.json"}</w:instrText>
      </w:r>
      <w:r w:rsidRPr="008D6943">
        <w:fldChar w:fldCharType="separate"/>
      </w:r>
      <w:r w:rsidR="00A01FCA" w:rsidRPr="00A01FCA">
        <w:rPr>
          <w:noProof/>
        </w:rPr>
        <w:t xml:space="preserve">Al-Ṭabari, </w:t>
      </w:r>
      <w:r w:rsidR="00A01FCA" w:rsidRPr="00A01FCA">
        <w:rPr>
          <w:i/>
          <w:noProof/>
        </w:rPr>
        <w:t>Jami’ Al-Bayan fi Ta’wil Al-Qur’an, Jil. 3</w:t>
      </w:r>
      <w:r w:rsidR="00A01FCA" w:rsidRPr="00A01FCA">
        <w:rPr>
          <w:noProof/>
        </w:rPr>
        <w:t>, vol. 10, h. 252–253.</w:t>
      </w:r>
      <w:r w:rsidRPr="008D6943">
        <w:fldChar w:fldCharType="end"/>
      </w:r>
    </w:p>
  </w:footnote>
  <w:footnote w:id="57">
    <w:p w14:paraId="7511B213" w14:textId="56B22D21" w:rsidR="00EA09E8" w:rsidRPr="008D6943" w:rsidRDefault="00EA09E8" w:rsidP="00EA09E8">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{"citationItems":[{"id":"ITEM-1","itemData":{"author":[{"dropping-particle":"","family":"Al-Ṭabari","given":"Muhammad bin Jarir","non-dropping-particle":"","parse-names":false,"suffix":""}],"container-title":"Al-Maktabah Al-Syāmilah","id":"ITEM-1","issued":{"date-parts":[["2000"]]},"publisher":"Mu'assasah Al-Risalah","publisher-place":"Beirut","title":"Jami' Al-Bayan fi Ta'wil Al-Qur'an, Jil. 3","type":"book"},"label":"volume","locator":"10, h. 252-253","uris":["http://www.mendeley.com/documents/?uuid=2d48c5e8-62b9-4c4c-b1e5-1199840b5ecb"]}],"mendeley":{"formattedCitation":"Al-Ṭabari, vol. 10, h. 252–253.","plainTextFormattedCitation":"Al-Ṭabari, vol. 10, h. 252–253.","previouslyFormattedCitation":"Al-Ṭabari, vol. 10, h. 252–253."},"properties":{"noteIndex":57},"schema":"https://github.com/citation-style-language/schema/raw/master/csl-citation.json"}</w:instrText>
      </w:r>
      <w:r w:rsidRPr="008D6943">
        <w:fldChar w:fldCharType="separate"/>
      </w:r>
      <w:r w:rsidRPr="008D6943">
        <w:rPr>
          <w:noProof/>
        </w:rPr>
        <w:t>Al-Ṭabari, vol. 10, h. 252–253.</w:t>
      </w:r>
      <w:r w:rsidRPr="008D6943">
        <w:fldChar w:fldCharType="end"/>
      </w:r>
    </w:p>
  </w:footnote>
  <w:footnote w:id="58">
    <w:p w14:paraId="2F92C6CE" w14:textId="26C5230E" w:rsidR="00EA09E8" w:rsidRPr="008D6943" w:rsidRDefault="00EA09E8" w:rsidP="00EA09E8">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{"citationItems":[{"id":"ITEM-1","itemData":{"author":[{"dropping-particle":"","family":"Al-Baghawi","given":"Abu Muhammad Al-Husain","non-dropping-particle":"","parse-names":false,"suffix":""}],"id":"ITEM-1","issued":{"date-parts":[["1999"]]},"publisher":"Dar Ihya' al-Turas al-'Araby","publisher-place":"Beirut","title":"Tafsir Al-Baghawi","type":"book"},"label":"volume","locator":"3, h. 48","uris":["http://www.mendeley.com/documents/?uuid=a0ddb433-1080-4307-9541-0548c8d0f6df"]}],"mendeley":{"formattedCitation":"Abu Muhammad Al-Husain Al-Baghawi, &lt;i&gt;Tafsir Al-Baghawi&lt;/i&gt; (Beirut: Dar Ihya’ al-Turas al-’Araby, 1999), vol. 3, h. 48.","plainTextFormattedCitation":"Abu Muhammad Al-Husain Al-Baghawi, Tafsir Al-Baghawi (Beirut: Dar Ihya’ al-Turas al-’Araby, 1999), vol. 3, h. 48.","previouslyFormattedCitation":"Abu Muhammad Al-Husain Al-Baghawi, &lt;i&gt;Tafsir Al-Baghawi&lt;/i&gt; (Beirut: Dar Ihya’ al-Turas al-’Araby, 1999), vol. 3, h. 48."},"properties":{"noteIndex":58},"schema":"https://github.com/citation-style-language/schema/raw/master/csl-citation.json"}</w:instrText>
      </w:r>
      <w:r w:rsidRPr="008D6943">
        <w:fldChar w:fldCharType="separate"/>
      </w:r>
      <w:r w:rsidRPr="008D6943">
        <w:rPr>
          <w:noProof/>
        </w:rPr>
        <w:t xml:space="preserve">Abu Muhammad Al-Husain Al-Baghawi, </w:t>
      </w:r>
      <w:r w:rsidRPr="008D6943">
        <w:rPr>
          <w:i/>
          <w:noProof/>
        </w:rPr>
        <w:t>Tafsir Al-Baghawi</w:t>
      </w:r>
      <w:r w:rsidRPr="008D6943">
        <w:rPr>
          <w:noProof/>
        </w:rPr>
        <w:t xml:space="preserve"> (Beirut: Dar Ihya’ al-Turas al-’Araby, 1999), vol. 3, h. 48.</w:t>
      </w:r>
      <w:r w:rsidRPr="008D6943">
        <w:fldChar w:fldCharType="end"/>
      </w:r>
    </w:p>
  </w:footnote>
  <w:footnote w:id="59">
    <w:p w14:paraId="0B80590E" w14:textId="09855352" w:rsidR="00EA09E8" w:rsidRPr="008D6943" w:rsidRDefault="00EA09E8" w:rsidP="00EA09E8">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{"citationItems":[{"id":"ITEM-1","itemData":{"author":[{"dropping-particle":"","family":"Bik","given":"Muhammad Al-Khudariy","non-dropping-particle":"","parse-names":false,"suffix":""}],"id":"ITEM-1","issued":{"date-parts":[["2013"]]},"publisher":"Dar Al-Kutub Al-Il'miyyah","publisher-place":"Beirut","title":"Tarikh Al-Tasyri' Al-Islamiy","type":"book"},"locator":"63-64","uris":["http://www.mendeley.com/documents/?uuid=250f3e11-00eb-46ad-b63c-292293e07974"]}],"mendeley":{"formattedCitation":"Muhammad Al-Khudariy Bik, &lt;i&gt;Tarikh Al-Tasyri’ Al-Islamiy&lt;/i&gt; (Beirut: Dar Al-Kutub Al-Il’miyyah, 2013), 63–64.","plainTextFormattedCitation":"Muhammad Al-Khudariy Bik, Tarikh Al-Tasyri’ Al-Islamiy (Beirut: Dar Al-Kutub Al-Il’miyyah, 2013), 63–64.","previouslyFormattedCitation":"Muhammad Al-Khudariy Bik, &lt;i&gt;Tarikh Al-Tasyri’ Al-Islamiy&lt;/i&gt; (Beirut: Dar Al-Kutub Al-Il’miyyah, 2013), 63–64."},"properties":{"noteIndex":59},"schema":"https://github.com/citation-style-language/schema/raw/master/csl-citation.json"}</w:instrText>
      </w:r>
      <w:r w:rsidRPr="008D6943">
        <w:fldChar w:fldCharType="separate"/>
      </w:r>
      <w:r w:rsidRPr="008D6943">
        <w:rPr>
          <w:noProof/>
        </w:rPr>
        <w:t xml:space="preserve">Muhammad Al-Khudariy Bik, </w:t>
      </w:r>
      <w:r w:rsidRPr="008D6943">
        <w:rPr>
          <w:i/>
          <w:noProof/>
        </w:rPr>
        <w:t>Tarikh Al-Tasyri’ Al-Islamiy</w:t>
      </w:r>
      <w:r w:rsidRPr="008D6943">
        <w:rPr>
          <w:noProof/>
        </w:rPr>
        <w:t xml:space="preserve"> (Beirut: Dar Al-Kutub Al-Il’miyyah, 2013), 63–64.</w:t>
      </w:r>
      <w:r w:rsidRPr="008D6943">
        <w:fldChar w:fldCharType="end"/>
      </w:r>
    </w:p>
  </w:footnote>
  <w:footnote w:id="60">
    <w:p w14:paraId="415A1F4C" w14:textId="588867C2" w:rsidR="00AF5B5E" w:rsidRPr="008D6943" w:rsidRDefault="00AF5B5E" w:rsidP="00AF5B5E">
      <w:pPr>
        <w:pStyle w:val="TeksCatatanKaki"/>
        <w:jc w:val="both"/>
        <w:rPr>
          <w:lang w:val="id-ID"/>
        </w:rPr>
      </w:pPr>
      <w:r w:rsidRPr="008D6943">
        <w:rPr>
          <w:rStyle w:val="ReferensiCatatanKaki"/>
        </w:rPr>
        <w:footnoteRef/>
      </w:r>
      <w:r w:rsidRPr="008D6943">
        <w:rPr>
          <w:lang w:val="id-ID"/>
        </w:rPr>
        <w:t xml:space="preserve"> </w:t>
      </w:r>
      <w:r w:rsidRPr="008D6943">
        <w:fldChar w:fldCharType="begin" w:fldLock="1"/>
      </w:r>
      <w:r w:rsidR="002F07E1">
        <w:rPr>
          <w:lang w:val="id-ID"/>
        </w:rPr>
        <w:instrText>ADDIN CSL_CITATION {"citationItems":[{"id":"ITEM-1","itemData":{"author":[{"dropping-particle":"","family":"Āsyūr","given":"Muḥammad Al-Ṭāhir","non-dropping-particle":"","parse-names":false,"suffix":""}],"container-title":"Al-Maktabah Al-Syāmilah","id":"ITEM-1","issued":{"date-parts":[["1984"]]},"publisher":"Ad-Dar At-Tunisiah li An-Nasyr","publisher-place":"Tunisia","title":"Al-Taḥrīr wa Al-Tanwīr","type":"book","volume":"30"},"label":"volume","locator":"6, h. 180","uris":["http://www.mendeley.com/documents/?uuid=11adc315-0ab3-42ef-b1b7-8f8c9bfbfa07"]}],"mendeley":{"formattedCitation":"Muḥammad Al-Ṭāhir Āsyūr, &lt;i&gt;Al-Taḥrīr wa Al-Tanwīr&lt;/i&gt;, &lt;i&gt;Al-Maktabah Al-Syāmilah&lt;/i&gt;, vol. 30 (Tunisia: Ad-Dar At-Tunisiah li An-Nasyr, 1984), vol. 6, h. 180.","plainTextFormattedCitation":"Muḥammad Al-Ṭāhir Āsyūr, Al-Taḥrīr wa Al-Tanwīr, Al-Maktabah Al-Syāmilah, vol. 30 (Tunisia: Ad-Dar At-Tunisiah li An-Nasyr, 1984), vol. 6, h. 180.","previouslyFormattedCitation":"Muḥammad Al-Ṭāhir Āsyūr, &lt;i&gt;Al-Taḥrīr wa Al-Tanwīr&lt;/i&gt;, &lt;i&gt;Al-Maktabah Al-Syāmilah&lt;/i&gt;, vol. 30 (Tunisia: Ad-Dar At-Tunisiah li An-Nasyr, 1984), vol. 6, h. 180."},"properties":{"noteIndex":60},"schema":"https://github.com/citation-style-language/schema/raw/master/csl-citation.json"}</w:instrText>
      </w:r>
      <w:r w:rsidRPr="008D6943">
        <w:fldChar w:fldCharType="separate"/>
      </w:r>
      <w:r w:rsidR="00A01FCA" w:rsidRPr="00A01FCA">
        <w:rPr>
          <w:noProof/>
          <w:lang w:val="id-ID"/>
        </w:rPr>
        <w:t xml:space="preserve">Muḥammad Al-Ṭāhir Āsyūr, </w:t>
      </w:r>
      <w:r w:rsidR="00A01FCA" w:rsidRPr="00A01FCA">
        <w:rPr>
          <w:i/>
          <w:noProof/>
          <w:lang w:val="id-ID"/>
        </w:rPr>
        <w:t>Al-Taḥrīr wa Al-Tanwīr</w:t>
      </w:r>
      <w:r w:rsidR="00A01FCA" w:rsidRPr="00A01FCA">
        <w:rPr>
          <w:noProof/>
          <w:lang w:val="id-ID"/>
        </w:rPr>
        <w:t xml:space="preserve">, </w:t>
      </w:r>
      <w:r w:rsidR="00A01FCA" w:rsidRPr="00A01FCA">
        <w:rPr>
          <w:i/>
          <w:noProof/>
          <w:lang w:val="id-ID"/>
        </w:rPr>
        <w:t>Al-Maktabah Al-Syāmilah</w:t>
      </w:r>
      <w:r w:rsidR="00A01FCA" w:rsidRPr="00A01FCA">
        <w:rPr>
          <w:noProof/>
          <w:lang w:val="id-ID"/>
        </w:rPr>
        <w:t>, vol. 30 (Tunisia: Ad-Dar At-Tunisiah li An-Nasyr, 1984), vol. 6, h. 180.</w:t>
      </w:r>
      <w:r w:rsidRPr="008D6943">
        <w:fldChar w:fldCharType="end"/>
      </w:r>
    </w:p>
  </w:footnote>
  <w:footnote w:id="61">
    <w:p w14:paraId="4FAC3F68" w14:textId="749D1B9E" w:rsidR="00AF5B5E" w:rsidRPr="008D6943" w:rsidRDefault="00AF5B5E" w:rsidP="00AF5B5E">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{"citationItems":[{"id":"ITEM-1","itemData":{"URL":"https://quran.kemenag.go.id","accessed":{"date-parts":[["2022","2","9"]]},"author":[{"dropping-particle":"","family":"LPMQ","given":"Lajnah Pentashih Mushaf Al-Qur'an","non-dropping-particle":"","parse-names":false,"suffix":""}],"container-title":"Kementerian Agama RI","id":"ITEM-1","issued":{"date-parts":[["2022"]]},"title":"Qur'an Kemenag","type":"webpage"},"uris":["http://www.mendeley.com/documents/?uuid=afb834ab-76f8-4c49-9fde-65ff5394ae57"]}],"mendeley":{"formattedCitation":"LPMQ, “Qur’an Kemenag.”","plainTextFormattedCitation":"LPMQ, “Qur’an Kemenag.”","previouslyFormattedCitation":"LPMQ, “Qur’an Kemenag.”"},"properties":{"noteIndex":61},"schema":"https://github.com/citation-style-language/schema/raw/master/csl-citation.json"}</w:instrText>
      </w:r>
      <w:r w:rsidRPr="008D6943">
        <w:fldChar w:fldCharType="separate"/>
      </w:r>
      <w:r w:rsidRPr="008D6943">
        <w:rPr>
          <w:noProof/>
        </w:rPr>
        <w:t>LPMQ, “Qur’an Kemenag.”</w:t>
      </w:r>
      <w:r w:rsidRPr="008D6943">
        <w:fldChar w:fldCharType="end"/>
      </w:r>
      <w:r w:rsidRPr="008D6943">
        <w:rPr>
          <w:lang w:val="id-ID"/>
        </w:rPr>
        <w:t xml:space="preserve"> </w:t>
      </w:r>
      <w:hyperlink r:id="rId1" w:history="1">
        <w:r w:rsidRPr="008D6943">
          <w:rPr>
            <w:rStyle w:val="Hyperlink"/>
            <w:lang w:val="id-ID"/>
          </w:rPr>
          <w:t>https://quran.kemenag.go.id/quran/per-ayat/surah/2?from=178&amp;to=178</w:t>
        </w:r>
      </w:hyperlink>
      <w:r w:rsidRPr="008D6943">
        <w:rPr>
          <w:lang w:val="id-ID"/>
        </w:rPr>
        <w:t xml:space="preserve"> </w:t>
      </w:r>
    </w:p>
  </w:footnote>
  <w:footnote w:id="62">
    <w:p w14:paraId="1B4F0AB6" w14:textId="10654A6A" w:rsidR="00AF5B5E" w:rsidRPr="008D6943" w:rsidRDefault="00AF5B5E" w:rsidP="00AF5B5E">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{"citationItems":[{"id":"ITEM-1","itemData":{"ISBN":"9953-34-189-3","author":[{"dropping-particle":"","family":"Al-Shabuni","given":"Muhammad 'Ali","non-dropping-particle":"","parse-names":false,"suffix":""}],"chapter-number":"1","container-title":"1","id":"ITEM-1","issued":{"date-parts":[["2017"]]},"page":"590","publisher":"Al-Maktabah Al-'Ishriyyah","publisher-place":"Beirut","title":"Rawai' Al-Bayan fii Tafsir Al-Ayat Al-Ahkam","type":"chapter"},"label":"volume","locator":"1, h. 162","uris":["http://www.mendeley.com/documents/?uuid=825d89a9-a0d9-4ed0-89b6-6ab241859db8"]}],"mendeley":{"formattedCitation":"Muhammad ’Ali Al-Shabuni, “Rawai’ Al-Bayan fii Tafsir Al-Ayat Al-Ahkam,” in &lt;i&gt;1&lt;/i&gt; (Beirut: Al-Maktabah Al-’Ishriyyah, 2017), vol. 1, h. 162.","plainTextFormattedCitation":"Muhammad ’Ali Al-Shabuni, “Rawai’ Al-Bayan fii Tafsir Al-Ayat Al-Ahkam,” in 1 (Beirut: Al-Maktabah Al-’Ishriyyah, 2017), vol. 1, h. 162.","previouslyFormattedCitation":"Muhammad ’Ali Al-Shabuni, “Rawai’ Al-Bayan fii Tafsir Al-Ayat Al-Ahkam,” in &lt;i&gt;1&lt;/i&gt; (Beirut: Al-Maktabah Al-’Ishriyyah, 2017), vol. 1, h. 162."},"properties":{"noteIndex":62},"schema":"https://github.com/citation-style-language/schema/raw/master/csl-citation.json"}</w:instrText>
      </w:r>
      <w:r w:rsidRPr="008D6943">
        <w:fldChar w:fldCharType="separate"/>
      </w:r>
      <w:r w:rsidRPr="008D6943">
        <w:rPr>
          <w:noProof/>
        </w:rPr>
        <w:t xml:space="preserve">Muhammad ’Ali Al-Shabuni, “Rawai’ Al-Bayan fii Tafsir Al-Ayat Al-Ahkam,” in </w:t>
      </w:r>
      <w:r w:rsidRPr="008D6943">
        <w:rPr>
          <w:i/>
          <w:noProof/>
        </w:rPr>
        <w:t>1</w:t>
      </w:r>
      <w:r w:rsidRPr="008D6943">
        <w:rPr>
          <w:noProof/>
        </w:rPr>
        <w:t xml:space="preserve"> (Beirut: Al-Maktabah Al-’Ishriyyah, 2017), vol. 1, h. 162.</w:t>
      </w:r>
      <w:r w:rsidRPr="008D6943">
        <w:fldChar w:fldCharType="end"/>
      </w:r>
    </w:p>
  </w:footnote>
  <w:footnote w:id="63">
    <w:p w14:paraId="2AC71CA8" w14:textId="5C9AFA0F" w:rsidR="00AF5B5E" w:rsidRPr="008D6943" w:rsidRDefault="00AF5B5E" w:rsidP="00AF5B5E">
      <w:pPr>
        <w:pStyle w:val="TeksCatatanKaki"/>
        <w:jc w:val="both"/>
        <w:rPr>
          <w:lang w:val="id-ID"/>
        </w:rPr>
      </w:pPr>
      <w:r w:rsidRPr="008D6943">
        <w:rPr>
          <w:rStyle w:val="ReferensiCatatanKaki"/>
        </w:rPr>
        <w:footnoteRef/>
      </w:r>
      <w:r w:rsidRPr="008D6943">
        <w:rPr>
          <w:lang w:val="id-ID"/>
        </w:rPr>
        <w:t xml:space="preserve"> </w:t>
      </w:r>
      <w:r w:rsidRPr="008D6943">
        <w:fldChar w:fldCharType="begin" w:fldLock="1"/>
      </w:r>
      <w:r w:rsidR="002F07E1">
        <w:rPr>
          <w:lang w:val="id-ID"/>
        </w:rPr>
        <w:instrText>ADDIN CSL_CITATION {"citationItems":[{"id":"ITEM-1","itemData":{"author":[{"dropping-particle":"","family":"Al-'Arabi","given":"Abu Bakr Ibn","non-dropping-particle":"","parse-names":false,"suffix":""}],"edition":"5","editor":[{"dropping-particle":"","family":"'Umayrat","given":"Al-Syeikh Zakariyya","non-dropping-particle":"","parse-names":false,"suffix":""}],"id":"ITEM-1","issued":{"date-parts":[["2014"]]},"number-of-pages":"232","publisher":"Dar al-Kotob al-Ilmiyah","publisher-place":"Lebanon","title":"Al-Nasikh wa Al-Mansukh fii Al-Qur'an Al-Karim","type":"book"},"locator":"37-38","uris":["http://www.mendeley.com/documents/?uuid=e3b7a227-37c9-4ed2-920e-63728a398584"]}],"mendeley":{"formattedCitation":"Abu Bakr Ibn Al-’Arabi, &lt;i&gt;Al-Nasikh wa Al-Mansukh fii Al-Qur’an Al-Karim&lt;/i&gt;, ed. oleh Al-Syeikh Zakariyya ’Umayrat, 5 ed. (Lebanon: Dar al-Kotob al-Ilmiyah, 2014), 37–38.","plainTextFormattedCitation":"Abu Bakr Ibn Al-’Arabi, Al-Nasikh wa Al-Mansukh fii Al-Qur’an Al-Karim, ed. oleh Al-Syeikh Zakariyya ’Umayrat, 5 ed. (Lebanon: Dar al-Kotob al-Ilmiyah, 2014), 37–38.","previouslyFormattedCitation":"Abu Bakr Ibn Al-’Arabi, &lt;i&gt;Al-Nasikh wa Al-Mansukh fii Al-Qur’an Al-Karim&lt;/i&gt;, ed. oleh Al-Syeikh Zakariyya ’Umayrat, 5 ed. (Lebanon: Dar al-Kotob al-Ilmiyah, 2014), 37–38."},"properties":{"noteIndex":63},"schema":"https://github.com/citation-style-language/schema/raw/master/csl-citation.json"}</w:instrText>
      </w:r>
      <w:r w:rsidRPr="008D6943">
        <w:fldChar w:fldCharType="separate"/>
      </w:r>
      <w:r w:rsidRPr="008D6943">
        <w:rPr>
          <w:noProof/>
          <w:lang w:val="id-ID"/>
        </w:rPr>
        <w:t xml:space="preserve">Abu Bakr Ibn Al-’Arabi, </w:t>
      </w:r>
      <w:r w:rsidRPr="008D6943">
        <w:rPr>
          <w:i/>
          <w:noProof/>
          <w:lang w:val="id-ID"/>
        </w:rPr>
        <w:t>Al-Nasikh wa Al-Mansukh fii Al-Qur’an Al-Karim</w:t>
      </w:r>
      <w:r w:rsidRPr="008D6943">
        <w:rPr>
          <w:noProof/>
          <w:lang w:val="id-ID"/>
        </w:rPr>
        <w:t xml:space="preserve">, ed. oleh Al-Syeikh Zakariyya ’Umayrat, 5 ed. </w:t>
      </w:r>
      <w:r w:rsidRPr="008D6943">
        <w:rPr>
          <w:noProof/>
        </w:rPr>
        <w:t>(Lebanon: Dar al-Kotob al-Ilmiyah, 2014), 37–38.</w:t>
      </w:r>
      <w:r w:rsidRPr="008D6943">
        <w:fldChar w:fldCharType="end"/>
      </w:r>
    </w:p>
  </w:footnote>
  <w:footnote w:id="64">
    <w:p w14:paraId="1806E85D" w14:textId="6111FB41" w:rsidR="00C7638B" w:rsidRPr="008D6943" w:rsidRDefault="00C7638B" w:rsidP="00C7638B">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{"citationItems":[{"id":"ITEM-1","itemData":{"URL":"https://quran.kemenag.go.id","accessed":{"date-parts":[["2022","2","9"]]},"author":[{"dropping-particle":"","family":"LPMQ","given":"Lajnah Pentashih Mushaf Al-Qur'an","non-dropping-particle":"","parse-names":false,"suffix":""}],"container-title":"Kementerian Agama RI","id":"ITEM-1","issued":{"date-parts":[["2022"]]},"title":"Qur'an Kemenag","type":"webpage"},"prefix":"Qs. al-Maidah: 32 ","uris":["http://www.mendeley.com/documents/?uuid=afb834ab-76f8-4c49-9fde-65ff5394ae57"]}],"mendeley":{"formattedCitation":"Qs. al-Maidah: 32 LPMQ, “Qur’an Kemenag.”","plainTextFormattedCitation":"Qs. al-Maidah: 32 LPMQ, “Qur’an Kemenag.”","previouslyFormattedCitation":"Qs. al-Maidah: 32 LPMQ, “Qur’an Kemenag.”"},"properties":{"noteIndex":64},"schema":"https://github.com/citation-style-language/schema/raw/master/csl-citation.json"}</w:instrText>
      </w:r>
      <w:r w:rsidRPr="008D6943">
        <w:fldChar w:fldCharType="separate"/>
      </w:r>
      <w:r w:rsidRPr="008D6943">
        <w:rPr>
          <w:noProof/>
        </w:rPr>
        <w:t>Qs. al-Maidah: 32 LPMQ, “Qur’an Kemenag.”</w:t>
      </w:r>
      <w:r w:rsidRPr="008D6943">
        <w:fldChar w:fldCharType="end"/>
      </w:r>
    </w:p>
  </w:footnote>
  <w:footnote w:id="65">
    <w:p w14:paraId="532F46D7" w14:textId="0F49B20B" w:rsidR="00B04B63" w:rsidRPr="008D6943" w:rsidRDefault="00B04B63" w:rsidP="00B04B63">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{"citationItems":[{"id":"ITEM-1","itemData":{"author":[{"dropping-particle":"","family":"Al-Ṭabari","given":"Muhammad bin Jarir","non-dropping-particle":"","parse-names":false,"suffix":""}],"container-title":"Al-Maktabah Al-Syāmilah","id":"ITEM-1","issued":{"date-parts":[["2000"]]},"publisher":"Mu'assasah Al-Risalah","publisher-place":"Beirut","title":"Jami' Al-Bayan fi Ta'wil Al-Qur'an, Jil. 3","type":"book"},"label":"volume","locator":"10, h. 232-240","uris":["http://www.mendeley.com/documents/?uuid=2d48c5e8-62b9-4c4c-b1e5-1199840b5ecb"]}],"mendeley":{"formattedCitation":"Al-Ṭabari, &lt;i&gt;Jami’ Al-Bayan fi Ta’wil Al-Qur’an, Jil. 3&lt;/i&gt;, vol. 10, h. 232–240.","plainTextFormattedCitation":"Al-Ṭabari, Jami’ Al-Bayan fi Ta’wil Al-Qur’an, Jil. 3, vol. 10, h. 232–240.","previouslyFormattedCitation":"Al-Ṭabari, &lt;i&gt;Jami’ Al-Bayan fi Ta’wil Al-Qur’an, Jil. 3&lt;/i&gt;, vol. 10, h. 232–240."},"properties":{"noteIndex":65},"schema":"https://github.com/citation-style-language/schema/raw/master/csl-citation.json"}</w:instrText>
      </w:r>
      <w:r w:rsidRPr="008D6943">
        <w:fldChar w:fldCharType="separate"/>
      </w:r>
      <w:r w:rsidR="00A01FCA" w:rsidRPr="00A01FCA">
        <w:rPr>
          <w:noProof/>
        </w:rPr>
        <w:t xml:space="preserve">Al-Ṭabari, </w:t>
      </w:r>
      <w:r w:rsidR="00A01FCA" w:rsidRPr="00A01FCA">
        <w:rPr>
          <w:i/>
          <w:noProof/>
        </w:rPr>
        <w:t>Jami’ Al-Bayan fi Ta’wil Al-Qur’an, Jil. 3</w:t>
      </w:r>
      <w:r w:rsidR="00A01FCA" w:rsidRPr="00A01FCA">
        <w:rPr>
          <w:noProof/>
        </w:rPr>
        <w:t>, vol. 10, h. 232–240.</w:t>
      </w:r>
      <w:r w:rsidRPr="008D6943">
        <w:fldChar w:fldCharType="end"/>
      </w:r>
    </w:p>
  </w:footnote>
  <w:footnote w:id="66">
    <w:p w14:paraId="408FBC68" w14:textId="06700515" w:rsidR="00B04B63" w:rsidRPr="008D6943" w:rsidRDefault="00B04B63" w:rsidP="00B04B63">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{"citationItems":[{"id":"ITEM-1","itemData":{"author":[{"dropping-particle":"","family":"Al-Ṭabari","given":"Muhammad bin Jarir","non-dropping-particle":"","parse-names":false,"suffix":""}],"container-title":"Al-Maktabah Al-Syāmilah","id":"ITEM-1","issued":{"date-parts":[["2000"]]},"publisher":"Mu'assasah Al-Risalah","publisher-place":"Beirut","title":"Jami' Al-Bayan fi Ta'wil Al-Qur'an, Jil. 3","type":"book"},"label":"volume","locator":"10, h. 240-241","uris":["http://www.mendeley.com/documents/?uuid=2d48c5e8-62b9-4c4c-b1e5-1199840b5ecb"]}],"mendeley":{"formattedCitation":"Al-Ṭabari, vol. 10, h. 240–241.","plainTextFormattedCitation":"Al-Ṭabari, vol. 10, h. 240–241.","previouslyFormattedCitation":"Al-Ṭabari, vol. 10, h. 240–241."},"properties":{"noteIndex":66},"schema":"https://github.com/citation-style-language/schema/raw/master/csl-citation.json"}</w:instrText>
      </w:r>
      <w:r w:rsidRPr="008D6943">
        <w:fldChar w:fldCharType="separate"/>
      </w:r>
      <w:r w:rsidRPr="008D6943">
        <w:rPr>
          <w:noProof/>
        </w:rPr>
        <w:t>Al-Ṭabari, vol. 10, h. 240–241.</w:t>
      </w:r>
      <w:r w:rsidRPr="008D6943">
        <w:fldChar w:fldCharType="end"/>
      </w:r>
    </w:p>
  </w:footnote>
  <w:footnote w:id="67">
    <w:p w14:paraId="36337B28" w14:textId="0C440006" w:rsidR="00B04B63" w:rsidRPr="008D6943" w:rsidRDefault="00B04B63" w:rsidP="00B04B63">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{"citationItems":[{"id":"ITEM-1","itemData":{"author":[{"dropping-particle":"","family":"Al-Razi","given":"Fakhruddin","non-dropping-particle":"","parse-names":false,"suffix":""}],"edition":"cet. III","id":"ITEM-1","issued":{"date-parts":[["2000"]]},"number-of-pages":"343","publisher":"Dar Ihya' al-Turas al-'Araby","publisher-place":"Beirut","title":"Mafatih al-Ghaib","type":"book"},"label":"volume","locator":"11, h. 344","uris":["http://www.mendeley.com/documents/?uuid=baa3b376-47fd-4228-ac34-5d9782b65080"]}],"mendeley":{"formattedCitation":"Al-Razi, &lt;i&gt;Mafatih al-Ghaib&lt;/i&gt;, vol. 11, h. 344.","plainTextFormattedCitation":"Al-Razi, Mafatih al-Ghaib, vol. 11, h. 344.","previouslyFormattedCitation":"Al-Razi, &lt;i&gt;Mafatih al-Ghaib&lt;/i&gt;, vol. 11, h. 344."},"properties":{"noteIndex":67},"schema":"https://github.com/citation-style-language/schema/raw/master/csl-citation.json"}</w:instrText>
      </w:r>
      <w:r w:rsidRPr="008D6943">
        <w:fldChar w:fldCharType="separate"/>
      </w:r>
      <w:r w:rsidRPr="008D6943">
        <w:rPr>
          <w:noProof/>
        </w:rPr>
        <w:t xml:space="preserve">Al-Razi, </w:t>
      </w:r>
      <w:r w:rsidRPr="008D6943">
        <w:rPr>
          <w:i/>
          <w:noProof/>
        </w:rPr>
        <w:t>Mafatih al-Ghaib</w:t>
      </w:r>
      <w:r w:rsidRPr="008D6943">
        <w:rPr>
          <w:noProof/>
        </w:rPr>
        <w:t>, vol. 11, h. 344.</w:t>
      </w:r>
      <w:r w:rsidRPr="008D6943">
        <w:fldChar w:fldCharType="end"/>
      </w:r>
    </w:p>
  </w:footnote>
  <w:footnote w:id="68">
    <w:p w14:paraId="1FA7103D" w14:textId="16F7AC8F" w:rsidR="00B04B63" w:rsidRPr="008D6943" w:rsidRDefault="00B04B63" w:rsidP="00B04B63">
      <w:pPr>
        <w:pStyle w:val="TeksCatatanKaki"/>
        <w:jc w:val="both"/>
        <w:rPr>
          <w:lang w:val="id-ID"/>
        </w:rPr>
      </w:pPr>
      <w:r w:rsidRPr="008D6943">
        <w:rPr>
          <w:rStyle w:val="ReferensiCatatanKaki"/>
        </w:rPr>
        <w:footnoteRef/>
      </w:r>
      <w:r w:rsidRPr="008D6943">
        <w:rPr>
          <w:lang w:val="id-ID"/>
        </w:rPr>
        <w:t xml:space="preserve"> </w:t>
      </w:r>
      <w:r w:rsidRPr="008D6943">
        <w:fldChar w:fldCharType="begin" w:fldLock="1"/>
      </w:r>
      <w:r w:rsidR="002F07E1">
        <w:rPr>
          <w:lang w:val="id-ID"/>
        </w:rPr>
        <w:instrText>ADDIN CSL_CITATION {"citationItems":[{"id":"ITEM-1","itemData":{"author":[{"dropping-particle":"","family":"Hijazi","given":"Muhammad Mahmud","non-dropping-particle":"","parse-names":false,"suffix":""}],"id":"ITEM-1","issued":{"date-parts":[["1970"]]},"publisher":"Dār Al-Kutub Al-Hadīṡah","publisher-place":"Mesir","title":"Al-Waḥdah Al-Mauḍū'iyyah fī Al-Qur'ān Al-Karīm","type":"book"},"label":"volume","locator":"1, h. 506","uris":["http://www.mendeley.com/documents/?uuid=ad78ab2d-d567-483c-9c50-c5d02fe9e948"]}],"mendeley":{"formattedCitation":"Muhammad Mahmud Hijazi, &lt;i&gt;Al-Waḥdah Al-Mauḍū’iyyah fī Al-Qur’ān Al-Karīm&lt;/i&gt; (Mesir: Dār Al-Kutub Al-Hadīṡah, 1970), vol. 1, h. 506.","plainTextFormattedCitation":"Muhammad Mahmud Hijazi, Al-Waḥdah Al-Mauḍū’iyyah fī Al-Qur’ān Al-Karīm (Mesir: Dār Al-Kutub Al-Hadīṡah, 1970), vol. 1, h. 506.","previouslyFormattedCitation":"Muhammad Mahmud Hijazi, &lt;i&gt;Al-Waḥdah Al-Mauḍū’iyyah fī Al-Qur’ān Al-Karīm&lt;/i&gt; (Mesir: Dār Al-Kutub Al-Hadīṡah, 1970), vol. 1, h. 506."},"properties":{"noteIndex":68},"schema":"https://github.com/citation-style-language/schema/raw/master/csl-citation.json"}</w:instrText>
      </w:r>
      <w:r w:rsidRPr="008D6943">
        <w:fldChar w:fldCharType="separate"/>
      </w:r>
      <w:r w:rsidRPr="008D6943">
        <w:rPr>
          <w:noProof/>
          <w:lang w:val="id-ID"/>
        </w:rPr>
        <w:t xml:space="preserve">Muhammad Mahmud Hijazi, </w:t>
      </w:r>
      <w:r w:rsidRPr="008D6943">
        <w:rPr>
          <w:i/>
          <w:noProof/>
          <w:lang w:val="id-ID"/>
        </w:rPr>
        <w:t>Al-Waḥdah Al-Mauḍū’iyyah fī Al-Qur’ān Al-Karīm</w:t>
      </w:r>
      <w:r w:rsidRPr="008D6943">
        <w:rPr>
          <w:noProof/>
          <w:lang w:val="id-ID"/>
        </w:rPr>
        <w:t xml:space="preserve"> (Mesir: Dār Al-Kutub Al-Hadīṡah, 1970), vol. 1, h. 506.</w:t>
      </w:r>
      <w:r w:rsidRPr="008D6943">
        <w:fldChar w:fldCharType="end"/>
      </w:r>
    </w:p>
  </w:footnote>
  <w:footnote w:id="69">
    <w:p w14:paraId="09BBDF4A" w14:textId="76E72954" w:rsidR="00B04B63" w:rsidRPr="008D6943" w:rsidRDefault="00B04B63" w:rsidP="00B04B63">
      <w:pPr>
        <w:pStyle w:val="TeksCatatanKaki"/>
        <w:tabs>
          <w:tab w:val="left" w:pos="7538"/>
        </w:tabs>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{"citationItems":[{"id":"ITEM-1","itemData":{"author":[{"dropping-particle":"","family":"Āsyūr","given":"Muḥammad Al-Ṭāhir","non-dropping-particle":"","parse-names":false,"suffix":""}],"container-title":"Al-Maktabah Al-Syāmilah","id":"ITEM-1","issued":{"date-parts":[["1984"]]},"publisher":"Ad-Dar At-Tunisiah li An-Nasyr","publisher-place":"Tunisia","title":"Al-Taḥrīr wa Al-Tanwīr","type":"book","volume":"30"},"label":"volume","locator":"6, h. 178","uris":["http://www.mendeley.com/documents/?uuid=11adc315-0ab3-42ef-b1b7-8f8c9bfbfa07"]}],"mendeley":{"formattedCitation":"Āsyūr, &lt;i&gt;Al-Taḥrīr wa Al-Tanwīr&lt;/i&gt;, vol. 30, vol. 6, h. 178.","plainTextFormattedCitation":"Āsyūr, Al-Taḥrīr wa Al-Tanwīr, vol. 30, vol. 6, h. 178.","previouslyFormattedCitation":"Āsyūr, &lt;i&gt;Al-Taḥrīr wa Al-Tanwīr&lt;/i&gt;, vol. 30, vol. 6, h. 178."},"properties":{"noteIndex":69},"schema":"https://github.com/citation-style-language/schema/raw/master/csl-citation.json"}</w:instrText>
      </w:r>
      <w:r w:rsidRPr="008D6943">
        <w:fldChar w:fldCharType="separate"/>
      </w:r>
      <w:r w:rsidR="00A01FCA" w:rsidRPr="00A01FCA">
        <w:rPr>
          <w:noProof/>
        </w:rPr>
        <w:t xml:space="preserve">Āsyūr, </w:t>
      </w:r>
      <w:r w:rsidR="00A01FCA" w:rsidRPr="00A01FCA">
        <w:rPr>
          <w:i/>
          <w:noProof/>
        </w:rPr>
        <w:t>Al-Taḥrīr wa Al-Tanwīr</w:t>
      </w:r>
      <w:r w:rsidR="00A01FCA" w:rsidRPr="00A01FCA">
        <w:rPr>
          <w:noProof/>
        </w:rPr>
        <w:t>, vol. 30, vol. 6, h. 178.</w:t>
      </w:r>
      <w:r w:rsidRPr="008D6943">
        <w:fldChar w:fldCharType="end"/>
      </w:r>
      <w:r w:rsidRPr="008D6943">
        <w:tab/>
      </w:r>
    </w:p>
  </w:footnote>
  <w:footnote w:id="70">
    <w:p w14:paraId="12E86CD8" w14:textId="5D3F3385" w:rsidR="00064B97" w:rsidRPr="008D6943" w:rsidRDefault="00064B97" w:rsidP="00064B97">
      <w:pPr>
        <w:pStyle w:val="TeksCatatanKaki"/>
        <w:jc w:val="both"/>
        <w:rPr>
          <w:lang w:val="id-ID"/>
        </w:rPr>
      </w:pPr>
      <w:r w:rsidRPr="008D6943">
        <w:rPr>
          <w:rStyle w:val="ReferensiCatatanKaki"/>
        </w:rPr>
        <w:footnoteRef/>
      </w:r>
      <w:r w:rsidRPr="008D6943">
        <w:rPr>
          <w:lang w:val="id-ID"/>
        </w:rPr>
        <w:t xml:space="preserve"> </w:t>
      </w:r>
      <w:r w:rsidRPr="008D6943">
        <w:fldChar w:fldCharType="begin" w:fldLock="1"/>
      </w:r>
      <w:r w:rsidR="002F07E1">
        <w:rPr>
          <w:lang w:val="id-ID"/>
        </w:rPr>
        <w:instrText>ADDIN CSL_CITATION {"citationItems":[{"id":"ITEM-1","itemData":{"author":[{"dropping-particle":"","family":"Hijazi","given":"Muhammad Mahmud","non-dropping-particle":"","parse-names":false,"suffix":""}],"id":"ITEM-1","issued":{"date-parts":[["1970"]]},"publisher":"Dār Al-Kutub Al-Hadīṡah","publisher-place":"Mesir","title":"Al-Waḥdah Al-Mauḍū'iyyah fī Al-Qur'ān Al-Karīm","type":"book"},"label":"volume","locator":"1, h. 506","uris":["http://www.mendeley.com/documents/?uuid=ad78ab2d-d567-483c-9c50-c5d02fe9e948"]}],"mendeley":{"formattedCitation":"Hijazi, &lt;i&gt;Al-Waḥdah Al-Mauḍū’iyyah fī Al-Qur’ān Al-Karīm&lt;/i&gt;, vol. 1, h. 506.","plainTextFormattedCitation":"Hijazi, Al-Waḥdah Al-Mauḍū’iyyah fī Al-Qur’ān Al-Karīm, vol. 1, h. 506.","previouslyFormattedCitation":"Hijazi, &lt;i&gt;Al-Waḥdah Al-Mauḍū’iyyah fī Al-Qur’ān Al-Karīm&lt;/i&gt;, vol. 1, h. 506."},"properties":{"noteIndex":70},"schema":"https://github.com/citation-style-language/schema/raw/master/csl-citation.json"}</w:instrText>
      </w:r>
      <w:r w:rsidRPr="008D6943">
        <w:fldChar w:fldCharType="separate"/>
      </w:r>
      <w:r w:rsidRPr="008D6943">
        <w:rPr>
          <w:noProof/>
          <w:lang w:val="id-ID"/>
        </w:rPr>
        <w:t xml:space="preserve">Hijazi, </w:t>
      </w:r>
      <w:r w:rsidRPr="008D6943">
        <w:rPr>
          <w:i/>
          <w:noProof/>
          <w:lang w:val="id-ID"/>
        </w:rPr>
        <w:t>Al-Waḥdah Al-Mauḍū’iyyah fī Al-Qur’ān Al-Karīm</w:t>
      </w:r>
      <w:r w:rsidRPr="008D6943">
        <w:rPr>
          <w:noProof/>
          <w:lang w:val="id-ID"/>
        </w:rPr>
        <w:t>, vol. 1, h. 506.</w:t>
      </w:r>
      <w:r w:rsidRPr="008D6943">
        <w:fldChar w:fldCharType="end"/>
      </w:r>
    </w:p>
  </w:footnote>
  <w:footnote w:id="71">
    <w:p w14:paraId="7CBE6D81" w14:textId="6D5FEEE9" w:rsidR="00064B97" w:rsidRPr="008D6943" w:rsidRDefault="00064B97" w:rsidP="00064B97">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{"citationItems":[{"id":"ITEM-1","itemData":{"author":[{"dropping-particle":"","family":"Al-Sya'rawiy","given":"Muhammad Mutawalliy","non-dropping-particle":"","parse-names":false,"suffix":""}],"id":"ITEM-1","issued":{"date-parts":[["1997"]]},"publisher":"Matabi' Akhbar Al-Yawm","publisher-place":"Mesir","title":"Tafsir Al-Sya'rawiy","type":"book"},"locator":"3087","uris":["http://www.mendeley.com/documents/?uuid=ecd9ae09-a6b8-47d7-93fc-48971d6c82e8"]}],"mendeley":{"formattedCitation":"Muhammad Mutawalliy Al-Sya’rawiy, &lt;i&gt;Tafsir Al-Sya’rawiy&lt;/i&gt; (Mesir: Matabi’ Akhbar Al-Yawm, 1997), 3087.","plainTextFormattedCitation":"Muhammad Mutawalliy Al-Sya’rawiy, Tafsir Al-Sya’rawiy (Mesir: Matabi’ Akhbar Al-Yawm, 1997), 3087.","previouslyFormattedCitation":"Muhammad Mutawalliy Al-Sya’rawiy, &lt;i&gt;Tafsir Al-Sya’rawiy&lt;/i&gt; (Mesir: Matabi’ Akhbar Al-Yawm, 1997), 3087."},"properties":{"noteIndex":71},"schema":"https://github.com/citation-style-language/schema/raw/master/csl-citation.json"}</w:instrText>
      </w:r>
      <w:r w:rsidRPr="008D6943">
        <w:fldChar w:fldCharType="separate"/>
      </w:r>
      <w:r w:rsidRPr="008D6943">
        <w:rPr>
          <w:noProof/>
        </w:rPr>
        <w:t xml:space="preserve">Muhammad Mutawalliy Al-Sya’rawiy, </w:t>
      </w:r>
      <w:r w:rsidRPr="008D6943">
        <w:rPr>
          <w:i/>
          <w:noProof/>
        </w:rPr>
        <w:t>Tafsir Al-Sya’rawiy</w:t>
      </w:r>
      <w:r w:rsidRPr="008D6943">
        <w:rPr>
          <w:noProof/>
        </w:rPr>
        <w:t xml:space="preserve"> (Mesir: Matabi’ Akhbar Al-Yawm, 1997), 3087.</w:t>
      </w:r>
      <w:r w:rsidRPr="008D6943">
        <w:fldChar w:fldCharType="end"/>
      </w:r>
    </w:p>
  </w:footnote>
  <w:footnote w:id="72">
    <w:p w14:paraId="24468437" w14:textId="473A8FD7" w:rsidR="00064B97" w:rsidRPr="008D6943" w:rsidRDefault="00064B97" w:rsidP="00064B97">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{"citationItems":[{"id":"ITEM-1","itemData":{"author":[{"dropping-particle":"","family":"Al-Sya'rawiy","given":"Muhammad Mutawalliy","non-dropping-particle":"","parse-names":false,"suffix":""}],"id":"ITEM-1","issued":{"date-parts":[["1997"]]},"publisher":"Matabi' Akhbar Al-Yawm","publisher-place":"Mesir","title":"Tafsir Al-Sya'rawiy","type":"book"},"locator":"3088","uris":["http://www.mendeley.com/documents/?uuid=ecd9ae09-a6b8-47d7-93fc-48971d6c82e8"]}],"mendeley":{"formattedCitation":"Al-Sya’rawiy, 3088.","plainTextFormattedCitation":"Al-Sya’rawiy, 3088.","previouslyFormattedCitation":"Al-Sya’rawiy, 3088."},"properties":{"noteIndex":72},"schema":"https://github.com/citation-style-language/schema/raw/master/csl-citation.json"}</w:instrText>
      </w:r>
      <w:r w:rsidRPr="008D6943">
        <w:fldChar w:fldCharType="separate"/>
      </w:r>
      <w:r w:rsidRPr="008D6943">
        <w:rPr>
          <w:noProof/>
        </w:rPr>
        <w:t>Al-Sya’rawiy, 3088.</w:t>
      </w:r>
      <w:r w:rsidRPr="008D6943">
        <w:fldChar w:fldCharType="end"/>
      </w:r>
    </w:p>
  </w:footnote>
  <w:footnote w:id="73">
    <w:p w14:paraId="769DD943" w14:textId="05552485" w:rsidR="00064B97" w:rsidRPr="008D6943" w:rsidRDefault="00064B97" w:rsidP="00064B97">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{"citationItems":[{"id":"ITEM-1","itemData":{"author":[{"dropping-particle":"","family":"Al-Razi","given":"Fakhruddin","non-dropping-particle":"","parse-names":false,"suffix":""}],"edition":"cet. III","id":"ITEM-1","issued":{"date-parts":[["2000"]]},"number-of-pages":"343","publisher":"Dar Ihya' al-Turas al-'Araby","publisher-place":"Beirut","title":"Mafatih al-Ghaib","type":"book"},"label":"volume","locator":"11, h. 344","uris":["http://www.mendeley.com/documents/?uuid=baa3b376-47fd-4228-ac34-5d9782b65080"]}],"mendeley":{"formattedCitation":"Al-Razi, &lt;i&gt;Mafatih al-Ghaib&lt;/i&gt;, vol. 11, h. 344.","plainTextFormattedCitation":"Al-Razi, Mafatih al-Ghaib, vol. 11, h. 344.","previouslyFormattedCitation":"Al-Razi, &lt;i&gt;Mafatih al-Ghaib&lt;/i&gt;, vol. 11, h. 344."},"properties":{"noteIndex":73},"schema":"https://github.com/citation-style-language/schema/raw/master/csl-citation.json"}</w:instrText>
      </w:r>
      <w:r w:rsidRPr="008D6943">
        <w:fldChar w:fldCharType="separate"/>
      </w:r>
      <w:r w:rsidRPr="008D6943">
        <w:rPr>
          <w:noProof/>
        </w:rPr>
        <w:t xml:space="preserve">Al-Razi, </w:t>
      </w:r>
      <w:r w:rsidRPr="008D6943">
        <w:rPr>
          <w:i/>
          <w:noProof/>
        </w:rPr>
        <w:t>Mafatih al-Ghaib</w:t>
      </w:r>
      <w:r w:rsidRPr="008D6943">
        <w:rPr>
          <w:noProof/>
        </w:rPr>
        <w:t>, vol. 11, h. 344.</w:t>
      </w:r>
      <w:r w:rsidRPr="008D6943">
        <w:fldChar w:fldCharType="end"/>
      </w:r>
    </w:p>
  </w:footnote>
  <w:footnote w:id="74">
    <w:p w14:paraId="2E984CBA" w14:textId="3E8B55D7" w:rsidR="00064B97" w:rsidRPr="008D6943" w:rsidRDefault="00064B97" w:rsidP="00064B97">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{"citationItems":[{"id":"ITEM-1","itemData":{"author":[{"dropping-particle":"","family":"Ridla","given":"Muhammad Rasyid bin 'Ali","non-dropping-particle":"","parse-names":false,"suffix":""}],"id":"ITEM-1","issued":{"date-parts":[["1990"]]},"publisher":"al-Hay’ah al-Miṣriyyah al-‘Ammah li al-Kitāb","publisher-place":"Mesir","title":"Tafsir Al-Qur'an Al-Hakim: Tafsir Al-Mannar","type":"book","volume":"6"},"locator":"289","uris":["http://www.mendeley.com/documents/?uuid=bb8de293-36be-4876-9954-333142b91089"]}],"mendeley":{"formattedCitation":"Muhammad Rasyid bin ’Ali Ridla, &lt;i&gt;Tafsir Al-Qur’an Al-Hakim: Tafsir Al-Mannar&lt;/i&gt;, vol. 6 (Mesir: al-Hay’ah al-Miṣriyyah al-‘Ammah li al-Kitāb, 1990), 289.","plainTextFormattedCitation":"Muhammad Rasyid bin ’Ali Ridla, Tafsir Al-Qur’an Al-Hakim: Tafsir Al-Mannar, vol. 6 (Mesir: al-Hay’ah al-Miṣriyyah al-‘Ammah li al-Kitāb, 1990), 289.","previouslyFormattedCitation":"Muhammad Rasyid bin ’Ali Ridla, &lt;i&gt;Tafsir Al-Qur’an Al-Hakim: Tafsir Al-Mannar&lt;/i&gt;, vol. 6 (Mesir: al-Hay’ah al-Miṣriyyah al-‘Ammah li al-Kitāb, 1990), 289."},"properties":{"noteIndex":74},"schema":"https://github.com/citation-style-language/schema/raw/master/csl-citation.json"}</w:instrText>
      </w:r>
      <w:r w:rsidRPr="008D6943">
        <w:fldChar w:fldCharType="separate"/>
      </w:r>
      <w:r w:rsidRPr="008D6943">
        <w:rPr>
          <w:noProof/>
        </w:rPr>
        <w:t xml:space="preserve">Muhammad Rasyid bin ’Ali Ridla, </w:t>
      </w:r>
      <w:r w:rsidRPr="008D6943">
        <w:rPr>
          <w:i/>
          <w:noProof/>
        </w:rPr>
        <w:t>Tafsir Al-Qur’an Al-Hakim: Tafsir Al-Mannar</w:t>
      </w:r>
      <w:r w:rsidRPr="008D6943">
        <w:rPr>
          <w:noProof/>
        </w:rPr>
        <w:t>, vol. 6 (Mesir: al-Hay’ah al-Miṣriyyah al-‘Ammah li al-Kitāb, 1990), 289.</w:t>
      </w:r>
      <w:r w:rsidRPr="008D6943">
        <w:fldChar w:fldCharType="end"/>
      </w:r>
    </w:p>
  </w:footnote>
  <w:footnote w:id="75">
    <w:p w14:paraId="0FBF04F4" w14:textId="402D9580" w:rsidR="00064B97" w:rsidRPr="008D6943" w:rsidRDefault="00064B97" w:rsidP="00064B97">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{"citationItems":[{"id":"ITEM-1","itemData":{"author":[{"dropping-particle":"","family":"Ridla","given":"Muhammad Rasyid bin 'Ali","non-dropping-particle":"","parse-names":false,"suffix":""}],"id":"ITEM-1","issued":{"date-parts":[["1990"]]},"publisher":"al-Hay’ah al-Miṣriyyah al-‘Ammah li al-Kitāb","publisher-place":"Mesir","title":"Tafsir Al-Qur'an Al-Hakim: Tafsir Al-Mannar","type":"book","volume":"6"},"locator":"289-290","uris":["http://www.mendeley.com/documents/?uuid=bb8de293-36be-4876-9954-333142b91089"]}],"mendeley":{"formattedCitation":"Ridla, 6:289–90.","plainTextFormattedCitation":"Ridla, 6:289–90.","previouslyFormattedCitation":"Ridla, 6:289–90."},"properties":{"noteIndex":75},"schema":"https://github.com/citation-style-language/schema/raw/master/csl-citation.json"}</w:instrText>
      </w:r>
      <w:r w:rsidRPr="008D6943">
        <w:fldChar w:fldCharType="separate"/>
      </w:r>
      <w:r w:rsidRPr="008D6943">
        <w:rPr>
          <w:noProof/>
        </w:rPr>
        <w:t>Ridla, 6:289–90.</w:t>
      </w:r>
      <w:r w:rsidRPr="008D6943">
        <w:fldChar w:fldCharType="end"/>
      </w:r>
    </w:p>
  </w:footnote>
  <w:footnote w:id="76">
    <w:p w14:paraId="3E4FC9A5" w14:textId="0E820DB2" w:rsidR="00064B97" w:rsidRPr="008D6943" w:rsidRDefault="00064B97" w:rsidP="00064B97">
      <w:pPr>
        <w:pStyle w:val="TeksCatatanKaki"/>
        <w:jc w:val="both"/>
        <w:rPr>
          <w:lang w:val="id-ID"/>
        </w:rPr>
      </w:pPr>
      <w:r w:rsidRPr="008D6943">
        <w:rPr>
          <w:rStyle w:val="ReferensiCatatanKaki"/>
        </w:rPr>
        <w:footnoteRef/>
      </w:r>
      <w:r w:rsidRPr="008D6943">
        <w:rPr>
          <w:lang w:val="id-ID"/>
        </w:rPr>
        <w:t xml:space="preserve"> Kisah ini termuat dalam pasal 4 dari ayat 1-16, lihat selengkapnya. </w:t>
      </w:r>
      <w:r w:rsidRPr="008D6943">
        <w:fldChar w:fldCharType="begin" w:fldLock="1"/>
      </w:r>
      <w:r w:rsidR="002F07E1">
        <w:instrText>ADDIN CSL_CITATION {"citationItems":[{"id":"ITEM-1","itemData":{"author":[{"dropping-particle":"","family":"LAI","given":"Lembaga Alkitab Indonesia","non-dropping-particle":"","parse-names":false,"suffix":""}],"id":"ITEM-1","issued":{"date-parts":[["2019"]]},"publisher":"Lembaga Alkitab Indonesia","title":"Alkitab Deuterokanonika","type":"book"},"locator":"3-4","uris":["http://www.mendeley.com/documents/?uuid=1a53d59b-3ff5-4b56-8c4e-31b58c16f200"]}],"mendeley":{"formattedCitation":"Lembaga Alkitab Indonesia LAI, &lt;i&gt;Alkitab Deuterokanonika&lt;/i&gt; (Lembaga Alkitab Indonesia, 2019), 3–4, https://www.bible.com/id/bible/306/.","plainTextFormattedCitation":"Lembaga Alkitab Indonesia LAI, Alkitab Deuterokanonika (Lembaga Alkitab Indonesia, 2019), 3–4, https://www.bible.com/id/bible/306/.","previouslyFormattedCitation":"Lembaga Alkitab Indonesia LAI, &lt;i&gt;Alkitab Deuterokanonika&lt;/i&gt; (Lembaga Alkitab Indonesia, 2019), 3–4, https://www.bible.com/id/bible/306/."},"properties":{"noteIndex":76},"schema":"https://github.com/citation-style-language/schema/raw/master/csl-citation.json"}</w:instrText>
      </w:r>
      <w:r w:rsidRPr="008D6943">
        <w:fldChar w:fldCharType="separate"/>
      </w:r>
      <w:r w:rsidRPr="008D6943">
        <w:rPr>
          <w:noProof/>
        </w:rPr>
        <w:t xml:space="preserve">Lembaga Alkitab Indonesia LAI, </w:t>
      </w:r>
      <w:r w:rsidRPr="008D6943">
        <w:rPr>
          <w:i/>
          <w:noProof/>
        </w:rPr>
        <w:t>Alkitab Deuterokanonika</w:t>
      </w:r>
      <w:r w:rsidRPr="008D6943">
        <w:rPr>
          <w:noProof/>
        </w:rPr>
        <w:t xml:space="preserve"> (Lembaga Alkitab Indonesia, 2019), 3–4, https://www.bible.com/id/bible/306/.</w:t>
      </w:r>
      <w:r w:rsidRPr="008D6943">
        <w:fldChar w:fldCharType="end"/>
      </w:r>
    </w:p>
  </w:footnote>
  <w:footnote w:id="77">
    <w:p w14:paraId="661F98B3" w14:textId="575D2114" w:rsidR="00064B97" w:rsidRPr="008D6943" w:rsidRDefault="00064B97" w:rsidP="00064B97">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{"citationItems":[{"id":"ITEM-1","itemData":{"author":[{"dropping-particle":"","family":"LAI","given":"Lembaga Alkitab Indonesia","non-dropping-particle":"","parse-names":false,"suffix":""}],"id":"ITEM-1","issued":{"date-parts":[["2019"]]},"publisher":"Lembaga Alkitab Indonesia","title":"Alkitab Deuterokanonika","type":"book"},"locator":"8","prefix":"Kisah yang dikutip Rida terdapat pada ayat 1-7, lihat selengkapnya.","uris":["http://www.mendeley.com/documents/?uuid=1a53d59b-3ff5-4b56-8c4e-31b58c16f200"]}],"mendeley":{"formattedCitation":"Kisah yang dikutip Rida terdapat pada ayat 1-7, lihat selengkapnya. LAI, 8.","plainTextFormattedCitation":"Kisah yang dikutip Rida terdapat pada ayat 1-7, lihat selengkapnya. LAI, 8.","previouslyFormattedCitation":"Kisah yang dikutip Rida terdapat pada ayat 1-7, lihat selengkapnya. LAI, 8."},"properties":{"noteIndex":77},"schema":"https://github.com/citation-style-language/schema/raw/master/csl-citation.json"}</w:instrText>
      </w:r>
      <w:r w:rsidRPr="008D6943">
        <w:fldChar w:fldCharType="separate"/>
      </w:r>
      <w:r w:rsidRPr="008D6943">
        <w:rPr>
          <w:noProof/>
        </w:rPr>
        <w:t>Kisah yang dikutip Rida terdapat pada ayat 1-7, lihat selengkapnya. LAI, 8.</w:t>
      </w:r>
      <w:r w:rsidRPr="008D6943">
        <w:fldChar w:fldCharType="end"/>
      </w:r>
    </w:p>
  </w:footnote>
  <w:footnote w:id="78">
    <w:p w14:paraId="3DF841B6" w14:textId="1863B273" w:rsidR="00064B97" w:rsidRPr="008D6943" w:rsidRDefault="00064B97" w:rsidP="00064B97">
      <w:pPr>
        <w:pStyle w:val="TeksCatatanKaki"/>
        <w:jc w:val="both"/>
        <w:rPr>
          <w:lang w:val="id-ID"/>
        </w:rPr>
      </w:pPr>
      <w:r w:rsidRPr="008D6943">
        <w:rPr>
          <w:rStyle w:val="ReferensiCatatanKaki"/>
        </w:rPr>
        <w:footnoteRef/>
      </w:r>
      <w:r w:rsidRPr="008D6943">
        <w:t xml:space="preserve"> </w:t>
      </w:r>
      <w:r w:rsidRPr="008D6943">
        <w:fldChar w:fldCharType="begin" w:fldLock="1"/>
      </w:r>
      <w:r w:rsidR="002F07E1">
        <w:instrText>ADDIN CSL_CITATION {"citationItems":[{"id":"ITEM-1","itemData":{"author":[{"dropping-particle":"","family":"LAI","given":"Lembaga Alkitab Indonesia","non-dropping-particle":"","parse-names":false,"suffix":""}],"id":"ITEM-1","issued":{"date-parts":[["2019"]]},"publisher":"Lembaga Alkitab Indonesia","title":"Alkitab Deuterokanonika","type":"book"},"locator":"76","prefix":"Bab ini menjelaskan hukum qisas, dimulai dari ayat 12, lihat selengkapnya.","uris":["http://www.mendeley.com/documents/?uuid=1a53d59b-3ff5-4b56-8c4e-31b58c16f200"]}],"mendeley":{"formattedCitation":"Bab ini menjelaskan hukum qisas, dimulai dari ayat 12, lihat selengkapnya. LAI, 76.","plainTextFormattedCitation":"Bab ini menjelaskan hukum qisas, dimulai dari ayat 12, lihat selengkapnya. LAI, 76.","previouslyFormattedCitation":"Bab ini menjelaskan hukum qisas, dimulai dari ayat 12, lihat selengkapnya. LAI, 76."},"properties":{"noteIndex":78},"schema":"https://github.com/citation-style-language/schema/raw/master/csl-citation.json"}</w:instrText>
      </w:r>
      <w:r w:rsidRPr="008D6943">
        <w:fldChar w:fldCharType="separate"/>
      </w:r>
      <w:r w:rsidRPr="008D6943">
        <w:rPr>
          <w:noProof/>
        </w:rPr>
        <w:t>Bab ini menjelaskan hukum qisas, dimulai dari ayat 12, lihat selengkapnya. LAI, 76.</w:t>
      </w:r>
      <w:r w:rsidRPr="008D6943">
        <w:fldChar w:fldCharType="end"/>
      </w:r>
    </w:p>
  </w:footnote>
  <w:footnote w:id="79">
    <w:p w14:paraId="48B24BF0" w14:textId="77777777" w:rsidR="003916B4" w:rsidRDefault="003916B4" w:rsidP="003916B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Cuypers, </w:t>
      </w:r>
      <w:r>
        <w:rPr>
          <w:i/>
          <w:color w:val="000000"/>
          <w:sz w:val="20"/>
          <w:szCs w:val="20"/>
        </w:rPr>
        <w:t>Fi Nazm Surah Al-Maidah, Terj ’Amr ’Abd Al-’Ati Salih</w:t>
      </w:r>
      <w:r>
        <w:rPr>
          <w:color w:val="000000"/>
          <w:sz w:val="20"/>
          <w:szCs w:val="20"/>
        </w:rPr>
        <w:t>, 187.</w:t>
      </w:r>
    </w:p>
  </w:footnote>
  <w:footnote w:id="80">
    <w:p w14:paraId="7B18145E" w14:textId="77777777" w:rsidR="003916B4" w:rsidRDefault="003916B4" w:rsidP="003916B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Al-Ṭabari, </w:t>
      </w:r>
      <w:r>
        <w:rPr>
          <w:i/>
          <w:color w:val="000000"/>
          <w:sz w:val="20"/>
          <w:szCs w:val="20"/>
        </w:rPr>
        <w:t>Jami’ Al-Bayan fi Ta’wil Al-Qur’an</w:t>
      </w:r>
      <w:r>
        <w:rPr>
          <w:color w:val="000000"/>
          <w:sz w:val="20"/>
          <w:szCs w:val="20"/>
        </w:rPr>
        <w:t>, vol. 6, h. 186.</w:t>
      </w:r>
    </w:p>
  </w:footnote>
  <w:footnote w:id="81">
    <w:p w14:paraId="65D266B6" w14:textId="77777777" w:rsidR="003916B4" w:rsidRDefault="003916B4" w:rsidP="003916B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Cuypers, </w:t>
      </w:r>
      <w:r>
        <w:rPr>
          <w:i/>
          <w:color w:val="000000"/>
          <w:sz w:val="20"/>
          <w:szCs w:val="20"/>
        </w:rPr>
        <w:t>Fi Nazm Surah Al-Maidah, Terj ’Amr ’Abd Al-’Ati Salih</w:t>
      </w:r>
      <w:r>
        <w:rPr>
          <w:color w:val="000000"/>
          <w:sz w:val="20"/>
          <w:szCs w:val="20"/>
        </w:rPr>
        <w:t>, 199.</w:t>
      </w:r>
    </w:p>
  </w:footnote>
  <w:footnote w:id="82">
    <w:p w14:paraId="53BB4B07" w14:textId="77777777" w:rsidR="003916B4" w:rsidRDefault="003916B4" w:rsidP="003916B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Cuypers, 200.</w:t>
      </w:r>
    </w:p>
  </w:footnote>
  <w:footnote w:id="83">
    <w:p w14:paraId="533A2F7F" w14:textId="77777777" w:rsidR="003916B4" w:rsidRDefault="003916B4" w:rsidP="003916B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Genesis 4:12 The Jewish Publication Society of America, </w:t>
      </w:r>
      <w:r>
        <w:rPr>
          <w:i/>
          <w:color w:val="000000"/>
          <w:sz w:val="20"/>
          <w:szCs w:val="20"/>
        </w:rPr>
        <w:t>The Torah: The Five Books of Moses</w:t>
      </w:r>
      <w:r>
        <w:rPr>
          <w:color w:val="000000"/>
          <w:sz w:val="20"/>
          <w:szCs w:val="20"/>
        </w:rPr>
        <w:t>, 3 ed. (Illinois, USA: Varda Books, 2001), 11.</w:t>
      </w:r>
    </w:p>
  </w:footnote>
  <w:footnote w:id="84">
    <w:p w14:paraId="7A3D00D0" w14:textId="77777777" w:rsidR="003916B4" w:rsidRDefault="003916B4" w:rsidP="003916B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Hebret Danby, </w:t>
      </w:r>
      <w:r>
        <w:rPr>
          <w:i/>
          <w:color w:val="000000"/>
          <w:sz w:val="20"/>
          <w:szCs w:val="20"/>
        </w:rPr>
        <w:t>The Mishnah, terj Hebret Danby</w:t>
      </w:r>
      <w:r>
        <w:rPr>
          <w:color w:val="000000"/>
          <w:sz w:val="20"/>
          <w:szCs w:val="20"/>
        </w:rPr>
        <w:t>, 1 ed. (New York: Oxford University Press, 1933), 388.</w:t>
      </w:r>
    </w:p>
  </w:footnote>
  <w:footnote w:id="85">
    <w:p w14:paraId="11551810" w14:textId="77777777" w:rsidR="003916B4" w:rsidRDefault="003916B4" w:rsidP="003916B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Neusner, </w:t>
      </w:r>
      <w:r>
        <w:rPr>
          <w:i/>
          <w:color w:val="000000"/>
          <w:sz w:val="20"/>
          <w:szCs w:val="20"/>
        </w:rPr>
        <w:t>The Way of Torah An Introduction to Judaism</w:t>
      </w:r>
      <w:r>
        <w:rPr>
          <w:color w:val="000000"/>
          <w:sz w:val="20"/>
          <w:szCs w:val="20"/>
        </w:rPr>
        <w:t>, 51–52.</w:t>
      </w:r>
    </w:p>
  </w:footnote>
  <w:footnote w:id="86">
    <w:p w14:paraId="0888D1E4" w14:textId="77777777" w:rsidR="003916B4" w:rsidRDefault="003916B4" w:rsidP="003916B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Neusner, 50.</w:t>
      </w:r>
    </w:p>
  </w:footnote>
  <w:footnote w:id="87">
    <w:p w14:paraId="03E8D486" w14:textId="77777777" w:rsidR="003916B4" w:rsidRDefault="003916B4" w:rsidP="003916B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Muhammad Yasin Al-Fadani, </w:t>
      </w:r>
      <w:r>
        <w:rPr>
          <w:i/>
          <w:color w:val="000000"/>
          <w:sz w:val="20"/>
          <w:szCs w:val="20"/>
        </w:rPr>
        <w:t>Bugyah Al-Busytaq</w:t>
      </w:r>
      <w:r>
        <w:rPr>
          <w:color w:val="000000"/>
          <w:sz w:val="20"/>
          <w:szCs w:val="20"/>
        </w:rPr>
        <w:t xml:space="preserve"> (Beirut: Dar Ibn Katheer, 2022), 200.</w:t>
      </w:r>
    </w:p>
  </w:footnote>
  <w:footnote w:id="88">
    <w:p w14:paraId="162DD11B" w14:textId="77777777" w:rsidR="003916B4" w:rsidRDefault="003916B4" w:rsidP="003916B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Q.S. AL-Maidah [5]:44 LPMQ, “Qur’an Kemenag” https://quran.kemenag.go.id/quran/per-ayat/surah/5?from=44&amp;to=44.</w:t>
      </w:r>
    </w:p>
  </w:footnote>
  <w:footnote w:id="89">
    <w:p w14:paraId="76BBA3AA" w14:textId="77777777" w:rsidR="003916B4" w:rsidRDefault="003916B4" w:rsidP="003916B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Cuypers, </w:t>
      </w:r>
      <w:r>
        <w:rPr>
          <w:i/>
          <w:color w:val="000000"/>
          <w:sz w:val="20"/>
          <w:szCs w:val="20"/>
        </w:rPr>
        <w:t>Fi Nazm Surah Al-Maidah, Terj ’Amr ’Abd Al-’Ati Salih</w:t>
      </w:r>
      <w:r>
        <w:rPr>
          <w:color w:val="000000"/>
          <w:sz w:val="20"/>
          <w:szCs w:val="20"/>
        </w:rPr>
        <w:t>, 201.</w:t>
      </w:r>
    </w:p>
  </w:footnote>
  <w:footnote w:id="90">
    <w:p w14:paraId="1782AD11" w14:textId="77777777" w:rsidR="003916B4" w:rsidRDefault="003916B4" w:rsidP="003916B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Joseph Benzion Witztum, “The Syriac Milieu of the Quran : The Recasting of Biblical Narratives,” 123.</w:t>
      </w:r>
    </w:p>
  </w:footnote>
  <w:footnote w:id="91">
    <w:p w14:paraId="75648A7C" w14:textId="77777777" w:rsidR="00A01FCA" w:rsidRDefault="00A01FCA" w:rsidP="00A01FC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Danby, </w:t>
      </w:r>
      <w:r>
        <w:rPr>
          <w:i/>
          <w:color w:val="000000"/>
          <w:sz w:val="20"/>
          <w:szCs w:val="20"/>
        </w:rPr>
        <w:t>The Mishnah, terj Hebret Danby</w:t>
      </w:r>
      <w:r>
        <w:rPr>
          <w:color w:val="000000"/>
          <w:sz w:val="20"/>
          <w:szCs w:val="20"/>
        </w:rPr>
        <w:t>, 387–88.</w:t>
      </w:r>
    </w:p>
  </w:footnote>
  <w:footnote w:id="92">
    <w:p w14:paraId="6E11173D" w14:textId="77777777" w:rsidR="00A01FCA" w:rsidRDefault="00A01FCA" w:rsidP="00A01FC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Leviticus [24]: 17-21 America, </w:t>
      </w:r>
      <w:r>
        <w:rPr>
          <w:i/>
          <w:color w:val="000000"/>
          <w:sz w:val="20"/>
          <w:szCs w:val="20"/>
        </w:rPr>
        <w:t>The Torah: The Five Books of Moses</w:t>
      </w:r>
      <w:r>
        <w:rPr>
          <w:color w:val="000000"/>
          <w:sz w:val="20"/>
          <w:szCs w:val="20"/>
        </w:rPr>
        <w:t>, 362.</w:t>
      </w:r>
    </w:p>
  </w:footnote>
  <w:footnote w:id="93">
    <w:p w14:paraId="561659E9" w14:textId="77777777" w:rsidR="00A01FCA" w:rsidRDefault="00A01FCA" w:rsidP="00A01FC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Reynolds, </w:t>
      </w:r>
      <w:r>
        <w:rPr>
          <w:i/>
          <w:color w:val="000000"/>
          <w:sz w:val="20"/>
          <w:szCs w:val="20"/>
        </w:rPr>
        <w:t>The Qur’an and the Bible (Text and Commentary)</w:t>
      </w:r>
      <w:r>
        <w:rPr>
          <w:color w:val="000000"/>
          <w:sz w:val="20"/>
          <w:szCs w:val="20"/>
        </w:rPr>
        <w:t>, 221.</w:t>
      </w:r>
    </w:p>
  </w:footnote>
  <w:footnote w:id="94">
    <w:p w14:paraId="79A8D342" w14:textId="77777777" w:rsidR="00A01FCA" w:rsidRDefault="00A01FCA" w:rsidP="00A01FC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LPMQ, “Qur’an Kemenag” https://quran.kemenag.go.id/quran/per-ayat/surah/5?from=45&amp;to=45.</w:t>
      </w:r>
    </w:p>
  </w:footnote>
  <w:footnote w:id="95">
    <w:p w14:paraId="70574EE2" w14:textId="77777777" w:rsidR="00A01FCA" w:rsidRDefault="00A01FCA" w:rsidP="00A01FC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Āsyūr, </w:t>
      </w:r>
      <w:r>
        <w:rPr>
          <w:i/>
          <w:color w:val="000000"/>
          <w:sz w:val="20"/>
          <w:szCs w:val="20"/>
        </w:rPr>
        <w:t>Al-Taḥrīr wa Al-Tanwīr</w:t>
      </w:r>
      <w:r>
        <w:rPr>
          <w:color w:val="000000"/>
          <w:sz w:val="20"/>
          <w:szCs w:val="20"/>
        </w:rPr>
        <w:t>, vol. Jild 30, vol. 15, h. 93.</w:t>
      </w:r>
    </w:p>
  </w:footnote>
  <w:footnote w:id="96">
    <w:p w14:paraId="41AEDF44" w14:textId="77777777" w:rsidR="00A01FCA" w:rsidRDefault="00A01FCA" w:rsidP="00A01FC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Āsyūr, vol. Jild 30, vol. 15, h. 92.</w:t>
      </w:r>
    </w:p>
  </w:footnote>
  <w:footnote w:id="97">
    <w:p w14:paraId="57F77E40" w14:textId="77777777" w:rsidR="000A2F54" w:rsidRDefault="000A2F54" w:rsidP="000A2F5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Genesis 4:12 America, </w:t>
      </w:r>
      <w:r>
        <w:rPr>
          <w:i/>
          <w:color w:val="000000"/>
          <w:sz w:val="20"/>
          <w:szCs w:val="20"/>
        </w:rPr>
        <w:t>The Torah: The Five Books of Moses</w:t>
      </w:r>
      <w:r>
        <w:rPr>
          <w:color w:val="000000"/>
          <w:sz w:val="20"/>
          <w:szCs w:val="20"/>
        </w:rPr>
        <w:t>, 11.</w:t>
      </w:r>
    </w:p>
  </w:footnote>
  <w:footnote w:id="98">
    <w:p w14:paraId="4CB32F99" w14:textId="77777777" w:rsidR="000A2F54" w:rsidRDefault="000A2F54" w:rsidP="000A2F5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Danby, </w:t>
      </w:r>
      <w:r>
        <w:rPr>
          <w:i/>
          <w:color w:val="000000"/>
          <w:sz w:val="20"/>
          <w:szCs w:val="20"/>
        </w:rPr>
        <w:t>The Mishnah, terj Hebret Danby</w:t>
      </w:r>
      <w:r>
        <w:rPr>
          <w:color w:val="000000"/>
          <w:sz w:val="20"/>
          <w:szCs w:val="20"/>
        </w:rPr>
        <w:t>, 388.</w:t>
      </w:r>
    </w:p>
  </w:footnote>
  <w:footnote w:id="99">
    <w:p w14:paraId="31162382" w14:textId="77777777" w:rsidR="00A01FCA" w:rsidRDefault="00A01FCA" w:rsidP="00A01FC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Cuypers, </w:t>
      </w:r>
      <w:r>
        <w:rPr>
          <w:i/>
          <w:color w:val="000000"/>
          <w:sz w:val="20"/>
          <w:szCs w:val="20"/>
        </w:rPr>
        <w:t>Fi Nazm Surah Al-Maidah, Terj ’Amr ’Abd Al-’Ati Salih</w:t>
      </w:r>
      <w:r>
        <w:rPr>
          <w:color w:val="000000"/>
          <w:sz w:val="20"/>
          <w:szCs w:val="20"/>
        </w:rPr>
        <w:t>, 187.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EDD4" w14:textId="77777777" w:rsidR="00B0785F" w:rsidRDefault="007855C9">
    <w:pPr>
      <w:pStyle w:val="Header"/>
      <w:jc w:val="right"/>
    </w:pPr>
    <w:r>
      <w:fldChar w:fldCharType="begin"/>
    </w:r>
    <w:r>
      <w:instrText xml:space="preserve"> PAGE   \* MERGEFORMAT </w:instrText>
    </w:r>
    <w:r>
      <w:fldChar w:fldCharType="separate"/>
    </w:r>
    <w:r w:rsidR="008D772D">
      <w:rPr>
        <w:noProof/>
      </w:rPr>
      <w:t>8</w:t>
    </w:r>
    <w:r>
      <w:rPr>
        <w:noProof/>
      </w:rPr>
      <w:fldChar w:fldCharType="end"/>
    </w:r>
  </w:p>
  <w:p w14:paraId="109C8FFF" w14:textId="77777777" w:rsidR="00B0785F" w:rsidRDefault="00B07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D6F3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F4A7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5ACC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50EE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12B2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2C2D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3EFF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BA5F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AEB0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7CEF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743560"/>
    <w:multiLevelType w:val="hybridMultilevel"/>
    <w:tmpl w:val="83166434"/>
    <w:lvl w:ilvl="0" w:tplc="865CDA8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1D19014F"/>
    <w:multiLevelType w:val="hybridMultilevel"/>
    <w:tmpl w:val="2E4467BC"/>
    <w:lvl w:ilvl="0" w:tplc="60867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4C73E8"/>
    <w:multiLevelType w:val="hybridMultilevel"/>
    <w:tmpl w:val="14E86218"/>
    <w:lvl w:ilvl="0" w:tplc="8B8C17D4">
      <w:start w:val="1"/>
      <w:numFmt w:val="upperLetter"/>
      <w:lvlText w:val="%1."/>
      <w:lvlJc w:val="left"/>
      <w:pPr>
        <w:tabs>
          <w:tab w:val="num" w:pos="360"/>
        </w:tabs>
        <w:ind w:left="360" w:hanging="360"/>
      </w:pPr>
      <w:rPr>
        <w:rFonts w:ascii="Times New Roman" w:eastAsia="Times New Roman" w:hAnsi="Times New Roman" w:cs="DecoType Naskh"/>
      </w:rPr>
    </w:lvl>
    <w:lvl w:ilvl="1" w:tplc="4D1EEBC8">
      <w:start w:val="1"/>
      <w:numFmt w:val="decimal"/>
      <w:lvlText w:val="%2."/>
      <w:lvlJc w:val="left"/>
      <w:pPr>
        <w:tabs>
          <w:tab w:val="num" w:pos="810"/>
        </w:tabs>
        <w:ind w:left="810" w:hanging="360"/>
      </w:pPr>
      <w:rPr>
        <w:rFonts w:ascii="Times New Roman" w:eastAsia="Times New Roman" w:hAnsi="Times New Roman" w:cs="DecoType Naskh"/>
        <w:b w:val="0"/>
        <w:bCs w:val="0"/>
      </w:rPr>
    </w:lvl>
    <w:lvl w:ilvl="2" w:tplc="33CA3894">
      <w:start w:val="1"/>
      <w:numFmt w:val="lowerLetter"/>
      <w:lvlText w:val="%3."/>
      <w:lvlJc w:val="left"/>
      <w:pPr>
        <w:tabs>
          <w:tab w:val="num" w:pos="1080"/>
        </w:tabs>
        <w:ind w:left="1080" w:hanging="360"/>
      </w:pPr>
      <w:rPr>
        <w:rFonts w:hint="default"/>
        <w:b w:val="0"/>
        <w:bCs w:val="0"/>
        <w:i w:val="0"/>
        <w:iCs w:val="0"/>
      </w:rPr>
    </w:lvl>
    <w:lvl w:ilvl="3" w:tplc="ACFA9D84">
      <w:start w:val="1"/>
      <w:numFmt w:val="decimal"/>
      <w:lvlText w:val="%4."/>
      <w:lvlJc w:val="left"/>
      <w:pPr>
        <w:ind w:left="1440" w:hanging="360"/>
      </w:pPr>
      <w:rPr>
        <w:rFonts w:hint="default"/>
      </w:r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3" w15:restartNumberingAfterBreak="0">
    <w:nsid w:val="271C2376"/>
    <w:multiLevelType w:val="hybridMultilevel"/>
    <w:tmpl w:val="2D22F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06202"/>
    <w:multiLevelType w:val="hybridMultilevel"/>
    <w:tmpl w:val="1F069706"/>
    <w:lvl w:ilvl="0" w:tplc="4D285346">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43DA3410"/>
    <w:multiLevelType w:val="hybridMultilevel"/>
    <w:tmpl w:val="7F1496BC"/>
    <w:lvl w:ilvl="0" w:tplc="4EE2A442">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76364E"/>
    <w:multiLevelType w:val="hybridMultilevel"/>
    <w:tmpl w:val="06D6BE08"/>
    <w:lvl w:ilvl="0" w:tplc="95CC191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37500DF"/>
    <w:multiLevelType w:val="hybridMultilevel"/>
    <w:tmpl w:val="C0A87B0A"/>
    <w:lvl w:ilvl="0" w:tplc="2AA0A2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9E0DB1"/>
    <w:multiLevelType w:val="hybridMultilevel"/>
    <w:tmpl w:val="1FC4F53C"/>
    <w:lvl w:ilvl="0" w:tplc="905451F6">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9097680"/>
    <w:multiLevelType w:val="hybridMultilevel"/>
    <w:tmpl w:val="E496ECD6"/>
    <w:lvl w:ilvl="0" w:tplc="6EC2950C">
      <w:start w:val="1"/>
      <w:numFmt w:val="lowerLetter"/>
      <w:lvlText w:val="%1."/>
      <w:lvlJc w:val="left"/>
      <w:pPr>
        <w:ind w:left="1080" w:hanging="360"/>
      </w:pPr>
      <w:rPr>
        <w:rFonts w:hint="default"/>
        <w:i w:val="0"/>
        <w:iCs w:val="0"/>
        <w:lang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564456"/>
    <w:multiLevelType w:val="hybridMultilevel"/>
    <w:tmpl w:val="CB1EE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6D77AC"/>
    <w:multiLevelType w:val="hybridMultilevel"/>
    <w:tmpl w:val="33548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45902"/>
    <w:multiLevelType w:val="hybridMultilevel"/>
    <w:tmpl w:val="7C2AB51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124810">
    <w:abstractNumId w:val="17"/>
  </w:num>
  <w:num w:numId="2" w16cid:durableId="1540901032">
    <w:abstractNumId w:val="18"/>
  </w:num>
  <w:num w:numId="3" w16cid:durableId="689917930">
    <w:abstractNumId w:val="16"/>
  </w:num>
  <w:num w:numId="4" w16cid:durableId="31007332">
    <w:abstractNumId w:val="10"/>
  </w:num>
  <w:num w:numId="5" w16cid:durableId="1893152223">
    <w:abstractNumId w:val="9"/>
  </w:num>
  <w:num w:numId="6" w16cid:durableId="1331175274">
    <w:abstractNumId w:val="7"/>
  </w:num>
  <w:num w:numId="7" w16cid:durableId="2018656915">
    <w:abstractNumId w:val="6"/>
  </w:num>
  <w:num w:numId="8" w16cid:durableId="823397143">
    <w:abstractNumId w:val="5"/>
  </w:num>
  <w:num w:numId="9" w16cid:durableId="434328813">
    <w:abstractNumId w:val="4"/>
  </w:num>
  <w:num w:numId="10" w16cid:durableId="382220778">
    <w:abstractNumId w:val="8"/>
  </w:num>
  <w:num w:numId="11" w16cid:durableId="2082949612">
    <w:abstractNumId w:val="3"/>
  </w:num>
  <w:num w:numId="12" w16cid:durableId="800685566">
    <w:abstractNumId w:val="2"/>
  </w:num>
  <w:num w:numId="13" w16cid:durableId="269361095">
    <w:abstractNumId w:val="1"/>
  </w:num>
  <w:num w:numId="14" w16cid:durableId="1193421754">
    <w:abstractNumId w:val="0"/>
  </w:num>
  <w:num w:numId="15" w16cid:durableId="936401488">
    <w:abstractNumId w:val="12"/>
  </w:num>
  <w:num w:numId="16" w16cid:durableId="1739595458">
    <w:abstractNumId w:val="22"/>
  </w:num>
  <w:num w:numId="17" w16cid:durableId="1173951755">
    <w:abstractNumId w:val="21"/>
  </w:num>
  <w:num w:numId="18" w16cid:durableId="929392231">
    <w:abstractNumId w:val="20"/>
  </w:num>
  <w:num w:numId="19" w16cid:durableId="1159543379">
    <w:abstractNumId w:val="13"/>
  </w:num>
  <w:num w:numId="20" w16cid:durableId="528223897">
    <w:abstractNumId w:val="11"/>
  </w:num>
  <w:num w:numId="21" w16cid:durableId="1721052957">
    <w:abstractNumId w:val="14"/>
  </w:num>
  <w:num w:numId="22" w16cid:durableId="583342313">
    <w:abstractNumId w:val="15"/>
  </w:num>
  <w:num w:numId="23" w16cid:durableId="14201289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7E15"/>
    <w:rsid w:val="000006F2"/>
    <w:rsid w:val="00024337"/>
    <w:rsid w:val="00027535"/>
    <w:rsid w:val="00027C33"/>
    <w:rsid w:val="0003157F"/>
    <w:rsid w:val="00035DBE"/>
    <w:rsid w:val="000376DD"/>
    <w:rsid w:val="00042C9E"/>
    <w:rsid w:val="00045157"/>
    <w:rsid w:val="00045EE2"/>
    <w:rsid w:val="00050866"/>
    <w:rsid w:val="00051456"/>
    <w:rsid w:val="00055233"/>
    <w:rsid w:val="00056C54"/>
    <w:rsid w:val="00062D59"/>
    <w:rsid w:val="00064B97"/>
    <w:rsid w:val="0007131D"/>
    <w:rsid w:val="00074ED8"/>
    <w:rsid w:val="0007590B"/>
    <w:rsid w:val="00080DDE"/>
    <w:rsid w:val="00082B8C"/>
    <w:rsid w:val="00091EC2"/>
    <w:rsid w:val="00094A44"/>
    <w:rsid w:val="00096584"/>
    <w:rsid w:val="000A2F54"/>
    <w:rsid w:val="000B5493"/>
    <w:rsid w:val="000B5E86"/>
    <w:rsid w:val="000C0029"/>
    <w:rsid w:val="000C0FF4"/>
    <w:rsid w:val="000C24E2"/>
    <w:rsid w:val="000C62CF"/>
    <w:rsid w:val="000C6C3D"/>
    <w:rsid w:val="000E1132"/>
    <w:rsid w:val="000E13D7"/>
    <w:rsid w:val="000E6660"/>
    <w:rsid w:val="000F719F"/>
    <w:rsid w:val="001001AB"/>
    <w:rsid w:val="00106443"/>
    <w:rsid w:val="0011026A"/>
    <w:rsid w:val="001129D7"/>
    <w:rsid w:val="001223B8"/>
    <w:rsid w:val="00123BBC"/>
    <w:rsid w:val="00125070"/>
    <w:rsid w:val="00127410"/>
    <w:rsid w:val="00127789"/>
    <w:rsid w:val="0012797E"/>
    <w:rsid w:val="00135D40"/>
    <w:rsid w:val="00141CD0"/>
    <w:rsid w:val="00144C3C"/>
    <w:rsid w:val="0014578C"/>
    <w:rsid w:val="00146D56"/>
    <w:rsid w:val="00152843"/>
    <w:rsid w:val="00156F1B"/>
    <w:rsid w:val="0015700F"/>
    <w:rsid w:val="0017143A"/>
    <w:rsid w:val="00171F5B"/>
    <w:rsid w:val="0017223D"/>
    <w:rsid w:val="00180589"/>
    <w:rsid w:val="00190E82"/>
    <w:rsid w:val="0019112B"/>
    <w:rsid w:val="001929D7"/>
    <w:rsid w:val="001945E3"/>
    <w:rsid w:val="00194D90"/>
    <w:rsid w:val="00197864"/>
    <w:rsid w:val="001A0AE1"/>
    <w:rsid w:val="001B0EF9"/>
    <w:rsid w:val="001B4F12"/>
    <w:rsid w:val="001B77FD"/>
    <w:rsid w:val="001C1428"/>
    <w:rsid w:val="001C3B59"/>
    <w:rsid w:val="001C728F"/>
    <w:rsid w:val="001D57D1"/>
    <w:rsid w:val="001E2800"/>
    <w:rsid w:val="001E4F84"/>
    <w:rsid w:val="001E6627"/>
    <w:rsid w:val="001E6C5D"/>
    <w:rsid w:val="001F1E4B"/>
    <w:rsid w:val="00201211"/>
    <w:rsid w:val="0020356A"/>
    <w:rsid w:val="00203833"/>
    <w:rsid w:val="0020721A"/>
    <w:rsid w:val="0021582F"/>
    <w:rsid w:val="0022129F"/>
    <w:rsid w:val="0022184F"/>
    <w:rsid w:val="00223ABE"/>
    <w:rsid w:val="00223E31"/>
    <w:rsid w:val="00224712"/>
    <w:rsid w:val="00224775"/>
    <w:rsid w:val="00230E8E"/>
    <w:rsid w:val="00230F00"/>
    <w:rsid w:val="002352E6"/>
    <w:rsid w:val="00241016"/>
    <w:rsid w:val="002521C0"/>
    <w:rsid w:val="0025389C"/>
    <w:rsid w:val="00254F7D"/>
    <w:rsid w:val="00255712"/>
    <w:rsid w:val="0025752B"/>
    <w:rsid w:val="0026109A"/>
    <w:rsid w:val="00261292"/>
    <w:rsid w:val="0026642C"/>
    <w:rsid w:val="00266A2A"/>
    <w:rsid w:val="002729E5"/>
    <w:rsid w:val="00273AB3"/>
    <w:rsid w:val="00274003"/>
    <w:rsid w:val="00276373"/>
    <w:rsid w:val="0027646A"/>
    <w:rsid w:val="00287C50"/>
    <w:rsid w:val="00291C03"/>
    <w:rsid w:val="00291EEB"/>
    <w:rsid w:val="00292009"/>
    <w:rsid w:val="002929C1"/>
    <w:rsid w:val="00295EA2"/>
    <w:rsid w:val="002A00E4"/>
    <w:rsid w:val="002A05D3"/>
    <w:rsid w:val="002A26B8"/>
    <w:rsid w:val="002A3C23"/>
    <w:rsid w:val="002B7684"/>
    <w:rsid w:val="002C7ABA"/>
    <w:rsid w:val="002D213C"/>
    <w:rsid w:val="002D4478"/>
    <w:rsid w:val="002E0794"/>
    <w:rsid w:val="002F07E1"/>
    <w:rsid w:val="002F11D6"/>
    <w:rsid w:val="002F5724"/>
    <w:rsid w:val="0030484B"/>
    <w:rsid w:val="0030580D"/>
    <w:rsid w:val="00306341"/>
    <w:rsid w:val="00306664"/>
    <w:rsid w:val="00313D56"/>
    <w:rsid w:val="003215DE"/>
    <w:rsid w:val="00321B75"/>
    <w:rsid w:val="00322883"/>
    <w:rsid w:val="00322CFB"/>
    <w:rsid w:val="00327020"/>
    <w:rsid w:val="00334C83"/>
    <w:rsid w:val="00335795"/>
    <w:rsid w:val="00336AC1"/>
    <w:rsid w:val="00340E47"/>
    <w:rsid w:val="00352F53"/>
    <w:rsid w:val="00357942"/>
    <w:rsid w:val="003654A8"/>
    <w:rsid w:val="003820FD"/>
    <w:rsid w:val="00390BFD"/>
    <w:rsid w:val="003916B4"/>
    <w:rsid w:val="00392488"/>
    <w:rsid w:val="00393204"/>
    <w:rsid w:val="003A4991"/>
    <w:rsid w:val="003B34B6"/>
    <w:rsid w:val="003B515A"/>
    <w:rsid w:val="003B686B"/>
    <w:rsid w:val="003C0BCB"/>
    <w:rsid w:val="003C7F1B"/>
    <w:rsid w:val="003D3947"/>
    <w:rsid w:val="003D3EB9"/>
    <w:rsid w:val="003D49F1"/>
    <w:rsid w:val="003D4D5A"/>
    <w:rsid w:val="003E4418"/>
    <w:rsid w:val="003E69B8"/>
    <w:rsid w:val="003E7C12"/>
    <w:rsid w:val="003F17AD"/>
    <w:rsid w:val="00401847"/>
    <w:rsid w:val="00401B7A"/>
    <w:rsid w:val="00406B8C"/>
    <w:rsid w:val="00416C92"/>
    <w:rsid w:val="004257C8"/>
    <w:rsid w:val="00430271"/>
    <w:rsid w:val="00431432"/>
    <w:rsid w:val="0043252A"/>
    <w:rsid w:val="0043369D"/>
    <w:rsid w:val="00434EF6"/>
    <w:rsid w:val="004367CC"/>
    <w:rsid w:val="004368B6"/>
    <w:rsid w:val="004376FD"/>
    <w:rsid w:val="00437B06"/>
    <w:rsid w:val="00443C63"/>
    <w:rsid w:val="0044734A"/>
    <w:rsid w:val="00447A82"/>
    <w:rsid w:val="00450AEC"/>
    <w:rsid w:val="0045713D"/>
    <w:rsid w:val="00461AB7"/>
    <w:rsid w:val="00462685"/>
    <w:rsid w:val="004652B4"/>
    <w:rsid w:val="004667A6"/>
    <w:rsid w:val="00467300"/>
    <w:rsid w:val="004673A1"/>
    <w:rsid w:val="0047047B"/>
    <w:rsid w:val="0047057A"/>
    <w:rsid w:val="0047243F"/>
    <w:rsid w:val="004736D7"/>
    <w:rsid w:val="00473B6F"/>
    <w:rsid w:val="00475CB5"/>
    <w:rsid w:val="00475ED6"/>
    <w:rsid w:val="00480EC2"/>
    <w:rsid w:val="0048181D"/>
    <w:rsid w:val="00485C1B"/>
    <w:rsid w:val="00486226"/>
    <w:rsid w:val="00490B8E"/>
    <w:rsid w:val="0049102F"/>
    <w:rsid w:val="00492E74"/>
    <w:rsid w:val="00494C9B"/>
    <w:rsid w:val="0049582F"/>
    <w:rsid w:val="004A1E03"/>
    <w:rsid w:val="004A1E4C"/>
    <w:rsid w:val="004A69FC"/>
    <w:rsid w:val="004B0E2D"/>
    <w:rsid w:val="004B1AA1"/>
    <w:rsid w:val="004B30D8"/>
    <w:rsid w:val="004B3CFF"/>
    <w:rsid w:val="004B4334"/>
    <w:rsid w:val="004B4786"/>
    <w:rsid w:val="004C03FD"/>
    <w:rsid w:val="004C4B2C"/>
    <w:rsid w:val="004D2F91"/>
    <w:rsid w:val="004D3F08"/>
    <w:rsid w:val="004D50CE"/>
    <w:rsid w:val="004E3DF8"/>
    <w:rsid w:val="004E76F5"/>
    <w:rsid w:val="004E7E7A"/>
    <w:rsid w:val="004F31BA"/>
    <w:rsid w:val="004F323A"/>
    <w:rsid w:val="00502C8A"/>
    <w:rsid w:val="00506B7D"/>
    <w:rsid w:val="00516FC5"/>
    <w:rsid w:val="00524163"/>
    <w:rsid w:val="00525414"/>
    <w:rsid w:val="0052632D"/>
    <w:rsid w:val="00526E59"/>
    <w:rsid w:val="0053148D"/>
    <w:rsid w:val="00533683"/>
    <w:rsid w:val="00537AD8"/>
    <w:rsid w:val="00540927"/>
    <w:rsid w:val="005420FD"/>
    <w:rsid w:val="00544D3B"/>
    <w:rsid w:val="00545228"/>
    <w:rsid w:val="00545602"/>
    <w:rsid w:val="00551701"/>
    <w:rsid w:val="005527EB"/>
    <w:rsid w:val="00552DF9"/>
    <w:rsid w:val="005542ED"/>
    <w:rsid w:val="00555A73"/>
    <w:rsid w:val="00555A78"/>
    <w:rsid w:val="00557C20"/>
    <w:rsid w:val="005619AE"/>
    <w:rsid w:val="00562D27"/>
    <w:rsid w:val="0056504B"/>
    <w:rsid w:val="005662D6"/>
    <w:rsid w:val="00572173"/>
    <w:rsid w:val="005722DF"/>
    <w:rsid w:val="00572B7A"/>
    <w:rsid w:val="00582AE9"/>
    <w:rsid w:val="005831CE"/>
    <w:rsid w:val="005844F5"/>
    <w:rsid w:val="0059066B"/>
    <w:rsid w:val="005924C1"/>
    <w:rsid w:val="00593438"/>
    <w:rsid w:val="00595C75"/>
    <w:rsid w:val="005A1BF2"/>
    <w:rsid w:val="005A3929"/>
    <w:rsid w:val="005C151D"/>
    <w:rsid w:val="005C1672"/>
    <w:rsid w:val="005C28F7"/>
    <w:rsid w:val="005C308D"/>
    <w:rsid w:val="005D1F82"/>
    <w:rsid w:val="005D25FD"/>
    <w:rsid w:val="005D6A06"/>
    <w:rsid w:val="005D71D0"/>
    <w:rsid w:val="005D734E"/>
    <w:rsid w:val="005E26C0"/>
    <w:rsid w:val="005E26EA"/>
    <w:rsid w:val="005F03FF"/>
    <w:rsid w:val="005F066B"/>
    <w:rsid w:val="005F303C"/>
    <w:rsid w:val="005F407F"/>
    <w:rsid w:val="005F5ADA"/>
    <w:rsid w:val="006014BA"/>
    <w:rsid w:val="006022E3"/>
    <w:rsid w:val="0060279E"/>
    <w:rsid w:val="00602EC3"/>
    <w:rsid w:val="0060369C"/>
    <w:rsid w:val="00603B0A"/>
    <w:rsid w:val="006048E7"/>
    <w:rsid w:val="00605188"/>
    <w:rsid w:val="00607040"/>
    <w:rsid w:val="006103EC"/>
    <w:rsid w:val="00613752"/>
    <w:rsid w:val="00613EE7"/>
    <w:rsid w:val="006153DB"/>
    <w:rsid w:val="00617E3B"/>
    <w:rsid w:val="00622F59"/>
    <w:rsid w:val="006237F1"/>
    <w:rsid w:val="00623B8B"/>
    <w:rsid w:val="00624AD7"/>
    <w:rsid w:val="00627A51"/>
    <w:rsid w:val="006300D0"/>
    <w:rsid w:val="00631F03"/>
    <w:rsid w:val="00643ABA"/>
    <w:rsid w:val="00646F02"/>
    <w:rsid w:val="00660AB1"/>
    <w:rsid w:val="006619A4"/>
    <w:rsid w:val="00662C7E"/>
    <w:rsid w:val="00662D75"/>
    <w:rsid w:val="00663A0A"/>
    <w:rsid w:val="00665C18"/>
    <w:rsid w:val="00667D58"/>
    <w:rsid w:val="006709C0"/>
    <w:rsid w:val="006732B8"/>
    <w:rsid w:val="0067767B"/>
    <w:rsid w:val="00681B1F"/>
    <w:rsid w:val="00682E2E"/>
    <w:rsid w:val="00686BCE"/>
    <w:rsid w:val="0069296F"/>
    <w:rsid w:val="00696FDF"/>
    <w:rsid w:val="006A04FB"/>
    <w:rsid w:val="006A3F48"/>
    <w:rsid w:val="006A4C12"/>
    <w:rsid w:val="006A5E2D"/>
    <w:rsid w:val="006A623C"/>
    <w:rsid w:val="006A6B62"/>
    <w:rsid w:val="006B10FA"/>
    <w:rsid w:val="006B32B4"/>
    <w:rsid w:val="006B3323"/>
    <w:rsid w:val="006B618A"/>
    <w:rsid w:val="006B6CF6"/>
    <w:rsid w:val="006B781D"/>
    <w:rsid w:val="006C3633"/>
    <w:rsid w:val="006C5AE2"/>
    <w:rsid w:val="006D0C0F"/>
    <w:rsid w:val="006E08C2"/>
    <w:rsid w:val="006E6940"/>
    <w:rsid w:val="006E7FDE"/>
    <w:rsid w:val="006F0960"/>
    <w:rsid w:val="006F5ED9"/>
    <w:rsid w:val="00700FFA"/>
    <w:rsid w:val="007041D0"/>
    <w:rsid w:val="00704494"/>
    <w:rsid w:val="00707AC8"/>
    <w:rsid w:val="0071266D"/>
    <w:rsid w:val="0071302F"/>
    <w:rsid w:val="00715556"/>
    <w:rsid w:val="00716908"/>
    <w:rsid w:val="00717D1F"/>
    <w:rsid w:val="00727079"/>
    <w:rsid w:val="00730B6A"/>
    <w:rsid w:val="0073301F"/>
    <w:rsid w:val="00734493"/>
    <w:rsid w:val="0073745D"/>
    <w:rsid w:val="00737481"/>
    <w:rsid w:val="00740AE0"/>
    <w:rsid w:val="00741639"/>
    <w:rsid w:val="00743877"/>
    <w:rsid w:val="00744B01"/>
    <w:rsid w:val="00747422"/>
    <w:rsid w:val="00751F8D"/>
    <w:rsid w:val="007569B8"/>
    <w:rsid w:val="00756ED6"/>
    <w:rsid w:val="007627B8"/>
    <w:rsid w:val="00771379"/>
    <w:rsid w:val="00771BCA"/>
    <w:rsid w:val="00774253"/>
    <w:rsid w:val="00775C7B"/>
    <w:rsid w:val="007813AC"/>
    <w:rsid w:val="007833C2"/>
    <w:rsid w:val="00783D2E"/>
    <w:rsid w:val="007855C9"/>
    <w:rsid w:val="007952E1"/>
    <w:rsid w:val="007A0F77"/>
    <w:rsid w:val="007A20D1"/>
    <w:rsid w:val="007A3386"/>
    <w:rsid w:val="007A3878"/>
    <w:rsid w:val="007A4A7E"/>
    <w:rsid w:val="007A51DB"/>
    <w:rsid w:val="007A599E"/>
    <w:rsid w:val="007B05D6"/>
    <w:rsid w:val="007B2631"/>
    <w:rsid w:val="007B361B"/>
    <w:rsid w:val="007B60BE"/>
    <w:rsid w:val="007C36A4"/>
    <w:rsid w:val="007C4E92"/>
    <w:rsid w:val="007C5ECC"/>
    <w:rsid w:val="007C6D87"/>
    <w:rsid w:val="007D05AE"/>
    <w:rsid w:val="007D1D27"/>
    <w:rsid w:val="007D28EA"/>
    <w:rsid w:val="007D720A"/>
    <w:rsid w:val="007E14E9"/>
    <w:rsid w:val="007E1686"/>
    <w:rsid w:val="007E35D0"/>
    <w:rsid w:val="007F4437"/>
    <w:rsid w:val="00800064"/>
    <w:rsid w:val="00804C8E"/>
    <w:rsid w:val="008063A8"/>
    <w:rsid w:val="00812121"/>
    <w:rsid w:val="00812267"/>
    <w:rsid w:val="0082327E"/>
    <w:rsid w:val="00824CF9"/>
    <w:rsid w:val="00831BA6"/>
    <w:rsid w:val="00834EC9"/>
    <w:rsid w:val="00835A87"/>
    <w:rsid w:val="00835F3E"/>
    <w:rsid w:val="00841F96"/>
    <w:rsid w:val="00844EFF"/>
    <w:rsid w:val="008462D8"/>
    <w:rsid w:val="00846E8F"/>
    <w:rsid w:val="00847663"/>
    <w:rsid w:val="00850045"/>
    <w:rsid w:val="00851394"/>
    <w:rsid w:val="008554B6"/>
    <w:rsid w:val="00862F89"/>
    <w:rsid w:val="00864BFF"/>
    <w:rsid w:val="00872C45"/>
    <w:rsid w:val="0087577E"/>
    <w:rsid w:val="00877779"/>
    <w:rsid w:val="00885DDC"/>
    <w:rsid w:val="00887161"/>
    <w:rsid w:val="008909D0"/>
    <w:rsid w:val="0089660E"/>
    <w:rsid w:val="00897402"/>
    <w:rsid w:val="008A1A6C"/>
    <w:rsid w:val="008A67EB"/>
    <w:rsid w:val="008A788C"/>
    <w:rsid w:val="008A7B52"/>
    <w:rsid w:val="008B1A3F"/>
    <w:rsid w:val="008B2852"/>
    <w:rsid w:val="008B744A"/>
    <w:rsid w:val="008C25B4"/>
    <w:rsid w:val="008D1E6E"/>
    <w:rsid w:val="008D28FF"/>
    <w:rsid w:val="008D56B4"/>
    <w:rsid w:val="008D6F98"/>
    <w:rsid w:val="008D772D"/>
    <w:rsid w:val="008E456F"/>
    <w:rsid w:val="008E693E"/>
    <w:rsid w:val="008F5D4B"/>
    <w:rsid w:val="00902767"/>
    <w:rsid w:val="009057E3"/>
    <w:rsid w:val="00905EEC"/>
    <w:rsid w:val="00910D70"/>
    <w:rsid w:val="00910EF3"/>
    <w:rsid w:val="00911798"/>
    <w:rsid w:val="009154F1"/>
    <w:rsid w:val="009163A6"/>
    <w:rsid w:val="0091687E"/>
    <w:rsid w:val="0092071A"/>
    <w:rsid w:val="00920B35"/>
    <w:rsid w:val="00923168"/>
    <w:rsid w:val="00925B10"/>
    <w:rsid w:val="009266F4"/>
    <w:rsid w:val="0093684F"/>
    <w:rsid w:val="00936C47"/>
    <w:rsid w:val="009379AD"/>
    <w:rsid w:val="00943544"/>
    <w:rsid w:val="00945269"/>
    <w:rsid w:val="00956094"/>
    <w:rsid w:val="009572D6"/>
    <w:rsid w:val="0095774C"/>
    <w:rsid w:val="00965594"/>
    <w:rsid w:val="00973507"/>
    <w:rsid w:val="00974AC1"/>
    <w:rsid w:val="00990B22"/>
    <w:rsid w:val="009917B8"/>
    <w:rsid w:val="0099382D"/>
    <w:rsid w:val="009A5B21"/>
    <w:rsid w:val="009A724D"/>
    <w:rsid w:val="009C72AF"/>
    <w:rsid w:val="009C7761"/>
    <w:rsid w:val="009D6134"/>
    <w:rsid w:val="009D79E3"/>
    <w:rsid w:val="009E202D"/>
    <w:rsid w:val="009E2738"/>
    <w:rsid w:val="009E67DB"/>
    <w:rsid w:val="009F2F00"/>
    <w:rsid w:val="009F3E3E"/>
    <w:rsid w:val="00A01FCA"/>
    <w:rsid w:val="00A04158"/>
    <w:rsid w:val="00A04AC1"/>
    <w:rsid w:val="00A0653A"/>
    <w:rsid w:val="00A10CCA"/>
    <w:rsid w:val="00A12D07"/>
    <w:rsid w:val="00A134C8"/>
    <w:rsid w:val="00A14906"/>
    <w:rsid w:val="00A15D76"/>
    <w:rsid w:val="00A20243"/>
    <w:rsid w:val="00A2627B"/>
    <w:rsid w:val="00A30551"/>
    <w:rsid w:val="00A36620"/>
    <w:rsid w:val="00A37ADC"/>
    <w:rsid w:val="00A37EC0"/>
    <w:rsid w:val="00A417FB"/>
    <w:rsid w:val="00A41ACF"/>
    <w:rsid w:val="00A5205B"/>
    <w:rsid w:val="00A53724"/>
    <w:rsid w:val="00A539DA"/>
    <w:rsid w:val="00A556B3"/>
    <w:rsid w:val="00A56E12"/>
    <w:rsid w:val="00A61638"/>
    <w:rsid w:val="00A61D21"/>
    <w:rsid w:val="00A6325E"/>
    <w:rsid w:val="00A63928"/>
    <w:rsid w:val="00A6649C"/>
    <w:rsid w:val="00A6754E"/>
    <w:rsid w:val="00A70540"/>
    <w:rsid w:val="00A70544"/>
    <w:rsid w:val="00A721D4"/>
    <w:rsid w:val="00A77C82"/>
    <w:rsid w:val="00A8112B"/>
    <w:rsid w:val="00A8561C"/>
    <w:rsid w:val="00A8566B"/>
    <w:rsid w:val="00A87BF0"/>
    <w:rsid w:val="00A910DE"/>
    <w:rsid w:val="00A912DE"/>
    <w:rsid w:val="00A956D0"/>
    <w:rsid w:val="00A974ED"/>
    <w:rsid w:val="00AA656F"/>
    <w:rsid w:val="00AA68D0"/>
    <w:rsid w:val="00AB2824"/>
    <w:rsid w:val="00AC10CD"/>
    <w:rsid w:val="00AC26A5"/>
    <w:rsid w:val="00AC3D52"/>
    <w:rsid w:val="00AC75F5"/>
    <w:rsid w:val="00AC7A54"/>
    <w:rsid w:val="00AD1451"/>
    <w:rsid w:val="00AD2CF8"/>
    <w:rsid w:val="00AD51C0"/>
    <w:rsid w:val="00AD531C"/>
    <w:rsid w:val="00AD77ED"/>
    <w:rsid w:val="00AE429E"/>
    <w:rsid w:val="00AF0AD4"/>
    <w:rsid w:val="00AF1C6F"/>
    <w:rsid w:val="00AF22E1"/>
    <w:rsid w:val="00AF5B5E"/>
    <w:rsid w:val="00B02AD4"/>
    <w:rsid w:val="00B03F43"/>
    <w:rsid w:val="00B04B63"/>
    <w:rsid w:val="00B070D6"/>
    <w:rsid w:val="00B0785F"/>
    <w:rsid w:val="00B128C5"/>
    <w:rsid w:val="00B17537"/>
    <w:rsid w:val="00B20FF7"/>
    <w:rsid w:val="00B23DC8"/>
    <w:rsid w:val="00B271FB"/>
    <w:rsid w:val="00B275B5"/>
    <w:rsid w:val="00B33E0A"/>
    <w:rsid w:val="00B40C62"/>
    <w:rsid w:val="00B44D41"/>
    <w:rsid w:val="00B45554"/>
    <w:rsid w:val="00B45C08"/>
    <w:rsid w:val="00B45D4E"/>
    <w:rsid w:val="00B45FC8"/>
    <w:rsid w:val="00B54B34"/>
    <w:rsid w:val="00B56687"/>
    <w:rsid w:val="00B6077E"/>
    <w:rsid w:val="00B622DE"/>
    <w:rsid w:val="00B66160"/>
    <w:rsid w:val="00B666EB"/>
    <w:rsid w:val="00B7188B"/>
    <w:rsid w:val="00B720D2"/>
    <w:rsid w:val="00B722DA"/>
    <w:rsid w:val="00B73D7B"/>
    <w:rsid w:val="00B73F2E"/>
    <w:rsid w:val="00B7426C"/>
    <w:rsid w:val="00B76D92"/>
    <w:rsid w:val="00B808BF"/>
    <w:rsid w:val="00B82401"/>
    <w:rsid w:val="00B917A4"/>
    <w:rsid w:val="00B9241E"/>
    <w:rsid w:val="00B932E5"/>
    <w:rsid w:val="00B93CDB"/>
    <w:rsid w:val="00B94420"/>
    <w:rsid w:val="00B94DC4"/>
    <w:rsid w:val="00B962B9"/>
    <w:rsid w:val="00BA3BDA"/>
    <w:rsid w:val="00BB1BA4"/>
    <w:rsid w:val="00BB213C"/>
    <w:rsid w:val="00BB2FE3"/>
    <w:rsid w:val="00BB5789"/>
    <w:rsid w:val="00BB5DAA"/>
    <w:rsid w:val="00BB6431"/>
    <w:rsid w:val="00BB6A89"/>
    <w:rsid w:val="00BC170C"/>
    <w:rsid w:val="00BD4406"/>
    <w:rsid w:val="00BE0496"/>
    <w:rsid w:val="00BE1E61"/>
    <w:rsid w:val="00BE68E9"/>
    <w:rsid w:val="00BE7D43"/>
    <w:rsid w:val="00BF1960"/>
    <w:rsid w:val="00BF2742"/>
    <w:rsid w:val="00BF4C09"/>
    <w:rsid w:val="00BF62A9"/>
    <w:rsid w:val="00BF668F"/>
    <w:rsid w:val="00C00C3B"/>
    <w:rsid w:val="00C01366"/>
    <w:rsid w:val="00C0289A"/>
    <w:rsid w:val="00C042D5"/>
    <w:rsid w:val="00C10D64"/>
    <w:rsid w:val="00C20EFB"/>
    <w:rsid w:val="00C3368C"/>
    <w:rsid w:val="00C3534A"/>
    <w:rsid w:val="00C368CF"/>
    <w:rsid w:val="00C40958"/>
    <w:rsid w:val="00C5254B"/>
    <w:rsid w:val="00C52E19"/>
    <w:rsid w:val="00C57590"/>
    <w:rsid w:val="00C60666"/>
    <w:rsid w:val="00C62E5C"/>
    <w:rsid w:val="00C646C2"/>
    <w:rsid w:val="00C64C8D"/>
    <w:rsid w:val="00C70642"/>
    <w:rsid w:val="00C732AF"/>
    <w:rsid w:val="00C73DF3"/>
    <w:rsid w:val="00C73FBB"/>
    <w:rsid w:val="00C7638B"/>
    <w:rsid w:val="00C83E7D"/>
    <w:rsid w:val="00C92685"/>
    <w:rsid w:val="00C93902"/>
    <w:rsid w:val="00C94A60"/>
    <w:rsid w:val="00C9669E"/>
    <w:rsid w:val="00C97E15"/>
    <w:rsid w:val="00CA335E"/>
    <w:rsid w:val="00CA4BAB"/>
    <w:rsid w:val="00CA5765"/>
    <w:rsid w:val="00CA638D"/>
    <w:rsid w:val="00CA7363"/>
    <w:rsid w:val="00CA7E4C"/>
    <w:rsid w:val="00CB4B42"/>
    <w:rsid w:val="00CC21D9"/>
    <w:rsid w:val="00CC4581"/>
    <w:rsid w:val="00CC5C8E"/>
    <w:rsid w:val="00CD14D3"/>
    <w:rsid w:val="00CD4E9E"/>
    <w:rsid w:val="00CD6653"/>
    <w:rsid w:val="00CD770B"/>
    <w:rsid w:val="00CE5946"/>
    <w:rsid w:val="00CF0625"/>
    <w:rsid w:val="00CF21AC"/>
    <w:rsid w:val="00CF26AA"/>
    <w:rsid w:val="00CF3EDF"/>
    <w:rsid w:val="00CF6325"/>
    <w:rsid w:val="00CF6D66"/>
    <w:rsid w:val="00D026E3"/>
    <w:rsid w:val="00D0383B"/>
    <w:rsid w:val="00D03DA7"/>
    <w:rsid w:val="00D059AB"/>
    <w:rsid w:val="00D06AAF"/>
    <w:rsid w:val="00D06B30"/>
    <w:rsid w:val="00D07314"/>
    <w:rsid w:val="00D10A4A"/>
    <w:rsid w:val="00D15AF3"/>
    <w:rsid w:val="00D16C2B"/>
    <w:rsid w:val="00D173E8"/>
    <w:rsid w:val="00D173F8"/>
    <w:rsid w:val="00D2132C"/>
    <w:rsid w:val="00D224A8"/>
    <w:rsid w:val="00D239C2"/>
    <w:rsid w:val="00D271CE"/>
    <w:rsid w:val="00D331E3"/>
    <w:rsid w:val="00D36C8D"/>
    <w:rsid w:val="00D4359F"/>
    <w:rsid w:val="00D43F60"/>
    <w:rsid w:val="00D4466E"/>
    <w:rsid w:val="00D45546"/>
    <w:rsid w:val="00D45D1B"/>
    <w:rsid w:val="00D5227B"/>
    <w:rsid w:val="00D522B8"/>
    <w:rsid w:val="00D543F7"/>
    <w:rsid w:val="00D71491"/>
    <w:rsid w:val="00D75DA6"/>
    <w:rsid w:val="00D81AB0"/>
    <w:rsid w:val="00D900EF"/>
    <w:rsid w:val="00D90EA0"/>
    <w:rsid w:val="00D92622"/>
    <w:rsid w:val="00D9524F"/>
    <w:rsid w:val="00DA16C0"/>
    <w:rsid w:val="00DA25D3"/>
    <w:rsid w:val="00DA268A"/>
    <w:rsid w:val="00DA2B27"/>
    <w:rsid w:val="00DB0EC4"/>
    <w:rsid w:val="00DB3F6B"/>
    <w:rsid w:val="00DB522C"/>
    <w:rsid w:val="00DC23D5"/>
    <w:rsid w:val="00DC276D"/>
    <w:rsid w:val="00DC31CE"/>
    <w:rsid w:val="00DC39DA"/>
    <w:rsid w:val="00DC497D"/>
    <w:rsid w:val="00DC4BA3"/>
    <w:rsid w:val="00DC50C5"/>
    <w:rsid w:val="00DC6DDE"/>
    <w:rsid w:val="00DC7908"/>
    <w:rsid w:val="00DD20A3"/>
    <w:rsid w:val="00DD36CA"/>
    <w:rsid w:val="00DD5371"/>
    <w:rsid w:val="00DE4A04"/>
    <w:rsid w:val="00DE4BAB"/>
    <w:rsid w:val="00DE5941"/>
    <w:rsid w:val="00DF20A3"/>
    <w:rsid w:val="00DF3A7D"/>
    <w:rsid w:val="00E0178A"/>
    <w:rsid w:val="00E023D5"/>
    <w:rsid w:val="00E029BE"/>
    <w:rsid w:val="00E029C9"/>
    <w:rsid w:val="00E05092"/>
    <w:rsid w:val="00E055D7"/>
    <w:rsid w:val="00E109CA"/>
    <w:rsid w:val="00E1129C"/>
    <w:rsid w:val="00E11AF6"/>
    <w:rsid w:val="00E126BB"/>
    <w:rsid w:val="00E133DC"/>
    <w:rsid w:val="00E22584"/>
    <w:rsid w:val="00E23707"/>
    <w:rsid w:val="00E26889"/>
    <w:rsid w:val="00E26CFC"/>
    <w:rsid w:val="00E30BD3"/>
    <w:rsid w:val="00E32309"/>
    <w:rsid w:val="00E332FC"/>
    <w:rsid w:val="00E33A02"/>
    <w:rsid w:val="00E40CB6"/>
    <w:rsid w:val="00E461F6"/>
    <w:rsid w:val="00E50DD9"/>
    <w:rsid w:val="00E5542F"/>
    <w:rsid w:val="00E56983"/>
    <w:rsid w:val="00E57ABA"/>
    <w:rsid w:val="00E670DD"/>
    <w:rsid w:val="00E67B07"/>
    <w:rsid w:val="00E67FFC"/>
    <w:rsid w:val="00E715CE"/>
    <w:rsid w:val="00E752FC"/>
    <w:rsid w:val="00E769E2"/>
    <w:rsid w:val="00E8677A"/>
    <w:rsid w:val="00EA09E8"/>
    <w:rsid w:val="00EA12A8"/>
    <w:rsid w:val="00EA28E5"/>
    <w:rsid w:val="00EB10C3"/>
    <w:rsid w:val="00EC2968"/>
    <w:rsid w:val="00EC7312"/>
    <w:rsid w:val="00EC7863"/>
    <w:rsid w:val="00ED1E3D"/>
    <w:rsid w:val="00ED35F8"/>
    <w:rsid w:val="00ED586A"/>
    <w:rsid w:val="00EE0960"/>
    <w:rsid w:val="00EE253B"/>
    <w:rsid w:val="00EE7469"/>
    <w:rsid w:val="00EF4B4B"/>
    <w:rsid w:val="00F035DC"/>
    <w:rsid w:val="00F03E4D"/>
    <w:rsid w:val="00F05592"/>
    <w:rsid w:val="00F13D3D"/>
    <w:rsid w:val="00F13FBC"/>
    <w:rsid w:val="00F16208"/>
    <w:rsid w:val="00F16494"/>
    <w:rsid w:val="00F23372"/>
    <w:rsid w:val="00F2368A"/>
    <w:rsid w:val="00F26781"/>
    <w:rsid w:val="00F27D58"/>
    <w:rsid w:val="00F32723"/>
    <w:rsid w:val="00F41A0E"/>
    <w:rsid w:val="00F423BD"/>
    <w:rsid w:val="00F42B9D"/>
    <w:rsid w:val="00F43005"/>
    <w:rsid w:val="00F52C29"/>
    <w:rsid w:val="00F545B3"/>
    <w:rsid w:val="00F5604B"/>
    <w:rsid w:val="00F56406"/>
    <w:rsid w:val="00F60BFB"/>
    <w:rsid w:val="00F6670B"/>
    <w:rsid w:val="00F70BE0"/>
    <w:rsid w:val="00F70C63"/>
    <w:rsid w:val="00F75484"/>
    <w:rsid w:val="00F83DF0"/>
    <w:rsid w:val="00F90A12"/>
    <w:rsid w:val="00F92CF9"/>
    <w:rsid w:val="00F96C73"/>
    <w:rsid w:val="00FA0827"/>
    <w:rsid w:val="00FA5475"/>
    <w:rsid w:val="00FA5485"/>
    <w:rsid w:val="00FA5CFF"/>
    <w:rsid w:val="00FA7E53"/>
    <w:rsid w:val="00FC74FE"/>
    <w:rsid w:val="00FD759A"/>
    <w:rsid w:val="00FE2FD7"/>
    <w:rsid w:val="00FE518B"/>
    <w:rsid w:val="00FF1ED6"/>
    <w:rsid w:val="00FF329E"/>
    <w:rsid w:val="00FF3FFC"/>
    <w:rsid w:val="00FF4968"/>
    <w:rsid w:val="00FF588D"/>
    <w:rsid w:val="00FF5E3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CEF6322"/>
  <w15:docId w15:val="{B1C90B09-3FD8-4497-BF56-CDA24DFE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FFC"/>
    <w:rPr>
      <w:sz w:val="24"/>
      <w:szCs w:val="24"/>
      <w:lang w:val="en-US" w:eastAsia="en-US"/>
    </w:rPr>
  </w:style>
  <w:style w:type="paragraph" w:styleId="Judul1">
    <w:name w:val="heading 1"/>
    <w:basedOn w:val="Normal"/>
    <w:next w:val="Normal"/>
    <w:link w:val="Judul1KAR"/>
    <w:qFormat/>
    <w:rsid w:val="006B10F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CatatanKaki">
    <w:name w:val="footnote text"/>
    <w:aliases w:val="Footnote Text Char Char,Footnote Text2,Footnote Text Char Char2,Footnote Text1,Footnote Text Char Char1,Char,Footnote Char Char,Catatan Kaki,Catatan Kaki Char Char Char Char Char,Footnote Char Char Char Char Char"/>
    <w:basedOn w:val="Normal"/>
    <w:link w:val="TeksCatatanKakiKAR"/>
    <w:uiPriority w:val="99"/>
    <w:rsid w:val="008A788C"/>
    <w:rPr>
      <w:sz w:val="20"/>
      <w:szCs w:val="20"/>
    </w:rPr>
  </w:style>
  <w:style w:type="character" w:styleId="ReferensiCatatanKaki">
    <w:name w:val="footnote reference"/>
    <w:basedOn w:val="FontParagrafDefault"/>
    <w:uiPriority w:val="99"/>
    <w:rsid w:val="008A788C"/>
    <w:rPr>
      <w:vertAlign w:val="superscript"/>
    </w:rPr>
  </w:style>
  <w:style w:type="paragraph" w:styleId="Footer">
    <w:name w:val="footer"/>
    <w:basedOn w:val="Normal"/>
    <w:link w:val="FooterKAR"/>
    <w:uiPriority w:val="99"/>
    <w:rsid w:val="007A599E"/>
    <w:pPr>
      <w:tabs>
        <w:tab w:val="center" w:pos="4320"/>
        <w:tab w:val="right" w:pos="8640"/>
      </w:tabs>
    </w:pPr>
  </w:style>
  <w:style w:type="character" w:styleId="NomorHalaman">
    <w:name w:val="page number"/>
    <w:basedOn w:val="FontParagrafDefault"/>
    <w:rsid w:val="007A599E"/>
  </w:style>
  <w:style w:type="paragraph" w:styleId="Header">
    <w:name w:val="header"/>
    <w:basedOn w:val="Normal"/>
    <w:link w:val="HeaderKAR"/>
    <w:uiPriority w:val="99"/>
    <w:rsid w:val="00607040"/>
    <w:pPr>
      <w:tabs>
        <w:tab w:val="center" w:pos="4320"/>
        <w:tab w:val="right" w:pos="8640"/>
      </w:tabs>
    </w:pPr>
  </w:style>
  <w:style w:type="character" w:customStyle="1" w:styleId="HeaderKAR">
    <w:name w:val="Header KAR"/>
    <w:basedOn w:val="FontParagrafDefault"/>
    <w:link w:val="Header"/>
    <w:uiPriority w:val="99"/>
    <w:rsid w:val="00607040"/>
    <w:rPr>
      <w:sz w:val="24"/>
      <w:szCs w:val="24"/>
    </w:rPr>
  </w:style>
  <w:style w:type="character" w:customStyle="1" w:styleId="FooterKAR">
    <w:name w:val="Footer KAR"/>
    <w:basedOn w:val="FontParagrafDefault"/>
    <w:link w:val="Footer"/>
    <w:uiPriority w:val="99"/>
    <w:rsid w:val="00607040"/>
    <w:rPr>
      <w:sz w:val="24"/>
      <w:szCs w:val="24"/>
    </w:rPr>
  </w:style>
  <w:style w:type="paragraph" w:styleId="TeksCatatanAkhir">
    <w:name w:val="endnote text"/>
    <w:basedOn w:val="Normal"/>
    <w:link w:val="TeksCatatanAkhirKAR"/>
    <w:rsid w:val="004D50CE"/>
    <w:rPr>
      <w:sz w:val="20"/>
      <w:szCs w:val="20"/>
    </w:rPr>
  </w:style>
  <w:style w:type="character" w:customStyle="1" w:styleId="TeksCatatanAkhirKAR">
    <w:name w:val="Teks Catatan Akhir KAR"/>
    <w:basedOn w:val="FontParagrafDefault"/>
    <w:link w:val="TeksCatatanAkhir"/>
    <w:rsid w:val="004D50CE"/>
    <w:rPr>
      <w:lang w:val="en-US" w:eastAsia="en-US"/>
    </w:rPr>
  </w:style>
  <w:style w:type="character" w:styleId="ReferensiCatatanAkhir">
    <w:name w:val="endnote reference"/>
    <w:basedOn w:val="FontParagrafDefault"/>
    <w:rsid w:val="004D50CE"/>
    <w:rPr>
      <w:vertAlign w:val="superscript"/>
    </w:rPr>
  </w:style>
  <w:style w:type="paragraph" w:styleId="DaftarParagraf">
    <w:name w:val="List Paragraph"/>
    <w:basedOn w:val="Normal"/>
    <w:uiPriority w:val="34"/>
    <w:qFormat/>
    <w:rsid w:val="00593438"/>
    <w:pPr>
      <w:ind w:left="720"/>
      <w:contextualSpacing/>
    </w:pPr>
    <w:rPr>
      <w:rFonts w:cs="DecoType Naskh"/>
      <w:szCs w:val="28"/>
    </w:rPr>
  </w:style>
  <w:style w:type="character" w:customStyle="1" w:styleId="TeksCatatanKakiKAR">
    <w:name w:val="Teks Catatan Kaki KAR"/>
    <w:aliases w:val="Footnote Text Char Char KAR,Footnote Text2 KAR,Footnote Text Char Char2 KAR,Footnote Text1 KAR,Footnote Text Char Char1 KAR,Char KAR,Footnote Char Char KAR,Catatan Kaki KAR,Catatan Kaki Char Char Char Char Char KAR"/>
    <w:basedOn w:val="FontParagrafDefault"/>
    <w:link w:val="TeksCatatanKaki"/>
    <w:uiPriority w:val="99"/>
    <w:rsid w:val="00593438"/>
    <w:rPr>
      <w:lang w:val="en-US" w:eastAsia="en-US"/>
    </w:rPr>
  </w:style>
  <w:style w:type="character" w:styleId="Hyperlink">
    <w:name w:val="Hyperlink"/>
    <w:basedOn w:val="FontParagrafDefault"/>
    <w:unhideWhenUsed/>
    <w:rsid w:val="00E769E2"/>
    <w:rPr>
      <w:color w:val="0000FF" w:themeColor="hyperlink"/>
      <w:u w:val="single"/>
    </w:rPr>
  </w:style>
  <w:style w:type="paragraph" w:styleId="TidakAdaSpasi">
    <w:name w:val="No Spacing"/>
    <w:uiPriority w:val="1"/>
    <w:qFormat/>
    <w:rsid w:val="00306664"/>
    <w:rPr>
      <w:rFonts w:asciiTheme="minorHAnsi" w:eastAsiaTheme="minorHAnsi" w:hAnsiTheme="minorHAnsi" w:cstheme="minorBidi"/>
      <w:sz w:val="22"/>
      <w:szCs w:val="22"/>
      <w:lang w:val="en-US" w:eastAsia="en-US"/>
    </w:rPr>
  </w:style>
  <w:style w:type="character" w:styleId="SebutanYangBelumTerselesaikan">
    <w:name w:val="Unresolved Mention"/>
    <w:basedOn w:val="FontParagrafDefault"/>
    <w:uiPriority w:val="99"/>
    <w:semiHidden/>
    <w:unhideWhenUsed/>
    <w:rsid w:val="00835F3E"/>
    <w:rPr>
      <w:color w:val="605E5C"/>
      <w:shd w:val="clear" w:color="auto" w:fill="E1DFDD"/>
    </w:rPr>
  </w:style>
  <w:style w:type="character" w:customStyle="1" w:styleId="Judul1KAR">
    <w:name w:val="Judul 1 KAR"/>
    <w:basedOn w:val="FontParagrafDefault"/>
    <w:link w:val="Judul1"/>
    <w:rsid w:val="006B10FA"/>
    <w:rPr>
      <w:rFonts w:asciiTheme="majorHAnsi" w:eastAsiaTheme="majorEastAsia" w:hAnsiTheme="majorHAnsi" w:cstheme="majorBidi"/>
      <w:color w:val="365F91" w:themeColor="accent1" w:themeShade="BF"/>
      <w:sz w:val="32"/>
      <w:szCs w:val="32"/>
      <w:lang w:val="en-US" w:eastAsia="en-US"/>
    </w:rPr>
  </w:style>
  <w:style w:type="paragraph" w:styleId="Keterangan">
    <w:name w:val="caption"/>
    <w:basedOn w:val="Normal"/>
    <w:next w:val="Normal"/>
    <w:unhideWhenUsed/>
    <w:qFormat/>
    <w:rsid w:val="00E5698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ardho@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16fadhil@gmail.com"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quran.kemenag.go.id/quran/per-ayat/surah/2?from=178&amp;to=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0278F-1F61-41C8-8E4E-1CA7A56A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9975</TotalTime>
  <Pages>29</Pages>
  <Words>7395</Words>
  <Characters>42153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KRITERIA KESHAHIHAN HADITS MENURUT AL-BAGHDADY</vt:lpstr>
    </vt:vector>
  </TitlesOfParts>
  <Company>Zan</Company>
  <LinksUpToDate>false</LinksUpToDate>
  <CharactersWithSpaces>49450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KRITERIA KESHAHIHAN HADITS MENURUT AL-BAGHDADY</dc:title>
  <dc:creator>Zan_c2</dc:creator>
  <cp:lastModifiedBy>lumatul jauharoh</cp:lastModifiedBy>
  <cp:revision>124</cp:revision>
  <cp:lastPrinted>2010-08-18T05:41:00Z</cp:lastPrinted>
  <dcterms:created xsi:type="dcterms:W3CDTF">2010-06-15T19:50:00Z</dcterms:created>
  <dcterms:modified xsi:type="dcterms:W3CDTF">2025-02-17T06:44:00Z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16d5a011-24c7-3064-b313-2f99ed8eef7c</vt:lpwstr>
  </property>
  <property fmtid="{D5CDD505-2E9C-101B-9397-08002B2CF9AE}" pid="24" name="Mendeley Citation Style_1">
    <vt:lpwstr>http://www.zotero.org/styles/chicago-fullnote-bibliography</vt:lpwstr>
  </property>
</Properties>
</file>