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4F16" w:rsidRDefault="00554F16">
      <w:pPr>
        <w:widowControl w:val="0"/>
        <w:pBdr>
          <w:top w:val="nil"/>
          <w:left w:val="nil"/>
          <w:bottom w:val="nil"/>
          <w:right w:val="nil"/>
          <w:between w:val="nil"/>
        </w:pBdr>
        <w:spacing w:line="276" w:lineRule="auto"/>
        <w:ind w:firstLine="0"/>
      </w:pPr>
    </w:p>
    <w:p w14:paraId="00000002" w14:textId="77777777" w:rsidR="00554F16" w:rsidRDefault="007E12B9">
      <w:pPr>
        <w:pBdr>
          <w:top w:val="nil"/>
          <w:left w:val="nil"/>
          <w:bottom w:val="nil"/>
          <w:right w:val="nil"/>
          <w:between w:val="nil"/>
        </w:pBdr>
        <w:tabs>
          <w:tab w:val="left" w:pos="709"/>
          <w:tab w:val="right" w:pos="9071"/>
        </w:tabs>
        <w:ind w:firstLine="0"/>
        <w:rPr>
          <w:rFonts w:cs="Garamond"/>
          <w:b/>
          <w:color w:val="000000"/>
          <w:sz w:val="20"/>
          <w:szCs w:val="20"/>
        </w:rPr>
      </w:pPr>
      <w:r>
        <w:rPr>
          <w:rFonts w:cs="Garamond"/>
          <w:b/>
          <w:color w:val="000000"/>
          <w:sz w:val="20"/>
          <w:szCs w:val="20"/>
        </w:rPr>
        <w:tab/>
        <w:t>Journal of Natural Science and Integration</w:t>
      </w:r>
      <w:r>
        <w:rPr>
          <w:noProof/>
        </w:rPr>
        <mc:AlternateContent>
          <mc:Choice Requires="wps">
            <w:drawing>
              <wp:anchor distT="0" distB="0" distL="114300" distR="114300" simplePos="0" relativeHeight="251658240" behindDoc="0" locked="0" layoutInCell="1" hidden="0" allowOverlap="1">
                <wp:simplePos x="0" y="0"/>
                <wp:positionH relativeFrom="column">
                  <wp:posOffset>3289300</wp:posOffset>
                </wp:positionH>
                <wp:positionV relativeFrom="paragraph">
                  <wp:posOffset>-50799</wp:posOffset>
                </wp:positionV>
                <wp:extent cx="2659380" cy="529590"/>
                <wp:effectExtent l="0" t="0" r="0" b="0"/>
                <wp:wrapNone/>
                <wp:docPr id="4" name="Freeform: Shape 4"/>
                <wp:cNvGraphicFramePr/>
                <a:graphic xmlns:a="http://schemas.openxmlformats.org/drawingml/2006/main">
                  <a:graphicData uri="http://schemas.microsoft.com/office/word/2010/wordprocessingShape">
                    <wps:wsp>
                      <wps:cNvSpPr/>
                      <wps:spPr>
                        <a:xfrm>
                          <a:off x="4021073" y="3519968"/>
                          <a:ext cx="2649855" cy="520065"/>
                        </a:xfrm>
                        <a:custGeom>
                          <a:avLst/>
                          <a:gdLst/>
                          <a:ahLst/>
                          <a:cxnLst/>
                          <a:rect l="l" t="t" r="r" b="b"/>
                          <a:pathLst>
                            <a:path w="2649855" h="520065" extrusionOk="0">
                              <a:moveTo>
                                <a:pt x="0" y="0"/>
                              </a:moveTo>
                              <a:lnTo>
                                <a:pt x="0" y="520065"/>
                              </a:lnTo>
                              <a:lnTo>
                                <a:pt x="2649855" y="520065"/>
                              </a:lnTo>
                              <a:lnTo>
                                <a:pt x="2649855" y="0"/>
                              </a:lnTo>
                              <a:close/>
                            </a:path>
                          </a:pathLst>
                        </a:custGeom>
                        <a:noFill/>
                        <a:ln>
                          <a:noFill/>
                        </a:ln>
                      </wps:spPr>
                      <wps:txbx>
                        <w:txbxContent>
                          <w:p w14:paraId="650B3725" w14:textId="77777777" w:rsidR="00554F16" w:rsidRDefault="007E12B9">
                            <w:pPr>
                              <w:ind w:right="111" w:firstLine="0"/>
                              <w:textDirection w:val="btLr"/>
                            </w:pPr>
                            <w:r>
                              <w:rPr>
                                <w:rFonts w:cs="Garamond"/>
                                <w:b/>
                                <w:color w:val="000000"/>
                                <w:sz w:val="20"/>
                              </w:rPr>
                              <w:t>Available online at:</w:t>
                            </w:r>
                          </w:p>
                          <w:p w14:paraId="7A4F6CDD" w14:textId="77777777" w:rsidR="00554F16" w:rsidRDefault="007E12B9">
                            <w:pPr>
                              <w:ind w:right="83" w:firstLine="0"/>
                              <w:textDirection w:val="btLr"/>
                            </w:pPr>
                            <w:r>
                              <w:rPr>
                                <w:rFonts w:cs="Garamond"/>
                                <w:color w:val="000000"/>
                                <w:sz w:val="20"/>
                              </w:rPr>
                              <w:t>http://ejournal.uin-suska.ac.id/index.php/JNSI</w:t>
                            </w:r>
                          </w:p>
                          <w:p w14:paraId="5410661A" w14:textId="77777777" w:rsidR="00554F16" w:rsidRDefault="007E12B9">
                            <w:pPr>
                              <w:ind w:right="111" w:firstLine="0"/>
                              <w:textDirection w:val="btLr"/>
                            </w:pPr>
                            <w:r>
                              <w:rPr>
                                <w:rFonts w:cs="Garamond"/>
                                <w:b/>
                                <w:color w:val="000000"/>
                                <w:sz w:val="20"/>
                              </w:rPr>
                              <w:t>DOI: 10.24014/</w:t>
                            </w:r>
                            <w:proofErr w:type="gramStart"/>
                            <w:r>
                              <w:rPr>
                                <w:rFonts w:cs="Garamond"/>
                                <w:b/>
                                <w:color w:val="000000"/>
                                <w:sz w:val="20"/>
                              </w:rPr>
                              <w:t>jnsi.v</w:t>
                            </w:r>
                            <w:proofErr w:type="gramEnd"/>
                            <w:r>
                              <w:rPr>
                                <w:rFonts w:cs="Garamond"/>
                                <w:b/>
                                <w:color w:val="000000"/>
                                <w:sz w:val="20"/>
                              </w:rPr>
                              <w:t>4i2.11445</w:t>
                            </w:r>
                          </w:p>
                        </w:txbxContent>
                      </wps:txbx>
                      <wps:bodyPr spcFirstLastPara="1" wrap="square" lIns="114300" tIns="0" rIns="114300" bIns="0" anchor="t" anchorCtr="0">
                        <a:noAutofit/>
                      </wps:bodyPr>
                    </wps:wsp>
                  </a:graphicData>
                </a:graphic>
              </wp:anchor>
            </w:drawing>
          </mc:Choice>
          <mc:Fallback>
            <w:pict>
              <v:shape id="Freeform: Shape 4" o:spid="_x0000_s1026" style="position:absolute;margin-left:259pt;margin-top:-4pt;width:209.4pt;height:41.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649855,520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" adj="-11796480,,5400" path="m,l,520065r2649855,l2649855,,,xe" filled="f" stroked="f">
                <v:stroke joinstyle="miter"/>
                <v:formulas/>
                <v:path arrowok="t" o:extrusionok="f" o:connecttype="custom" textboxrect="0,0,2649855,520065"/>
                <v:textbox inset="9pt,0,9pt,0">
                  <w:txbxContent>
                    <w:p w14:paraId="650B3725" w14:textId="77777777" w:rsidR="00554F16" w:rsidRDefault="007E12B9">
                      <w:pPr>
                        <w:ind w:right="111" w:firstLine="0"/>
                        <w:textDirection w:val="btLr"/>
                      </w:pPr>
                      <w:r>
                        <w:rPr>
                          <w:rFonts w:cs="Garamond"/>
                          <w:b/>
                          <w:color w:val="000000"/>
                          <w:sz w:val="20"/>
                        </w:rPr>
                        <w:t>Available online at:</w:t>
                      </w:r>
                    </w:p>
                    <w:p w14:paraId="7A4F6CDD" w14:textId="77777777" w:rsidR="00554F16" w:rsidRDefault="007E12B9">
                      <w:pPr>
                        <w:ind w:right="83" w:firstLine="0"/>
                        <w:textDirection w:val="btLr"/>
                      </w:pPr>
                      <w:r>
                        <w:rPr>
                          <w:rFonts w:cs="Garamond"/>
                          <w:color w:val="000000"/>
                          <w:sz w:val="20"/>
                        </w:rPr>
                        <w:t>http://ejournal.uin-suska.ac.id/index.php/JNSI</w:t>
                      </w:r>
                    </w:p>
                    <w:p w14:paraId="5410661A" w14:textId="77777777" w:rsidR="00554F16" w:rsidRDefault="007E12B9">
                      <w:pPr>
                        <w:ind w:right="111" w:firstLine="0"/>
                        <w:textDirection w:val="btLr"/>
                      </w:pPr>
                      <w:r>
                        <w:rPr>
                          <w:rFonts w:cs="Garamond"/>
                          <w:b/>
                          <w:color w:val="000000"/>
                          <w:sz w:val="20"/>
                        </w:rPr>
                        <w:t>DOI: 10.24014/</w:t>
                      </w:r>
                      <w:proofErr w:type="gramStart"/>
                      <w:r>
                        <w:rPr>
                          <w:rFonts w:cs="Garamond"/>
                          <w:b/>
                          <w:color w:val="000000"/>
                          <w:sz w:val="20"/>
                        </w:rPr>
                        <w:t>jnsi.v</w:t>
                      </w:r>
                      <w:proofErr w:type="gramEnd"/>
                      <w:r>
                        <w:rPr>
                          <w:rFonts w:cs="Garamond"/>
                          <w:b/>
                          <w:color w:val="000000"/>
                          <w:sz w:val="20"/>
                        </w:rPr>
                        <w:t>4i2.11445</w:t>
                      </w:r>
                    </w:p>
                  </w:txbxContent>
                </v:textbox>
              </v:shape>
            </w:pict>
          </mc:Fallback>
        </mc:AlternateContent>
      </w:r>
      <w:r>
        <w:rPr>
          <w:noProof/>
        </w:rPr>
        <w:drawing>
          <wp:anchor distT="0" distB="0" distL="114300" distR="114300" simplePos="0" relativeHeight="251659264" behindDoc="0" locked="0" layoutInCell="1" hidden="0" allowOverlap="1">
            <wp:simplePos x="0" y="0"/>
            <wp:positionH relativeFrom="column">
              <wp:posOffset>90171</wp:posOffset>
            </wp:positionH>
            <wp:positionV relativeFrom="paragraph">
              <wp:posOffset>26669</wp:posOffset>
            </wp:positionV>
            <wp:extent cx="317500" cy="368300"/>
            <wp:effectExtent l="0" t="0" r="0" b="0"/>
            <wp:wrapNone/>
            <wp:docPr id="5" name="image2.jpg" descr="C:\Users\62823\Downloads\Logo JNSI new.jpeg"/>
            <wp:cNvGraphicFramePr/>
            <a:graphic xmlns:a="http://schemas.openxmlformats.org/drawingml/2006/main">
              <a:graphicData uri="http://schemas.openxmlformats.org/drawingml/2006/picture">
                <pic:pic xmlns:pic="http://schemas.openxmlformats.org/drawingml/2006/picture">
                  <pic:nvPicPr>
                    <pic:cNvPr id="0" name="image2.jpg" descr="C:\Users\62823\Downloads\Logo JNSI new.jpeg"/>
                    <pic:cNvPicPr preferRelativeResize="0"/>
                  </pic:nvPicPr>
                  <pic:blipFill>
                    <a:blip r:embed="rId9"/>
                    <a:srcRect/>
                    <a:stretch>
                      <a:fillRect/>
                    </a:stretch>
                  </pic:blipFill>
                  <pic:spPr>
                    <a:xfrm>
                      <a:off x="0" y="0"/>
                      <a:ext cx="317500" cy="368300"/>
                    </a:xfrm>
                    <a:prstGeom prst="rect">
                      <a:avLst/>
                    </a:prstGeom>
                    <a:ln/>
                  </pic:spPr>
                </pic:pic>
              </a:graphicData>
            </a:graphic>
          </wp:anchor>
        </w:drawing>
      </w:r>
    </w:p>
    <w:p w14:paraId="00000003" w14:textId="77777777" w:rsidR="00554F16" w:rsidRDefault="007E12B9">
      <w:pPr>
        <w:pBdr>
          <w:top w:val="nil"/>
          <w:left w:val="nil"/>
          <w:bottom w:val="nil"/>
          <w:right w:val="nil"/>
          <w:between w:val="nil"/>
        </w:pBdr>
        <w:ind w:left="709" w:firstLine="0"/>
        <w:rPr>
          <w:rFonts w:cs="Garamond"/>
          <w:color w:val="000000"/>
          <w:sz w:val="20"/>
          <w:szCs w:val="20"/>
        </w:rPr>
      </w:pPr>
      <w:r>
        <w:rPr>
          <w:rFonts w:cs="Garamond"/>
          <w:color w:val="000000"/>
          <w:sz w:val="20"/>
          <w:szCs w:val="20"/>
        </w:rPr>
        <w:t>P-ISSN: 2620-4967|E-ISSN: 2620-5092</w:t>
      </w:r>
    </w:p>
    <w:p w14:paraId="00000004" w14:textId="77777777" w:rsidR="00554F16" w:rsidRDefault="007E12B9">
      <w:pPr>
        <w:pBdr>
          <w:top w:val="nil"/>
          <w:left w:val="nil"/>
          <w:bottom w:val="nil"/>
          <w:right w:val="nil"/>
          <w:between w:val="nil"/>
        </w:pBdr>
        <w:ind w:left="709" w:firstLine="0"/>
        <w:rPr>
          <w:rFonts w:cs="Garamond"/>
          <w:color w:val="000000"/>
          <w:sz w:val="20"/>
          <w:szCs w:val="20"/>
        </w:rPr>
      </w:pPr>
      <w:r>
        <w:rPr>
          <w:rFonts w:cs="Garamond"/>
          <w:color w:val="000000"/>
          <w:sz w:val="20"/>
          <w:szCs w:val="20"/>
        </w:rPr>
        <w:t>Vol. 2, No. 2, October 2019, pp 1-3</w:t>
      </w:r>
    </w:p>
    <w:p w14:paraId="669186C0" w14:textId="0EE73025" w:rsidR="005D7C7A" w:rsidRDefault="005D7C7A" w:rsidP="0087601F">
      <w:pPr>
        <w:pBdr>
          <w:top w:val="nil"/>
          <w:left w:val="nil"/>
          <w:bottom w:val="nil"/>
          <w:right w:val="nil"/>
          <w:between w:val="nil"/>
        </w:pBdr>
        <w:spacing w:after="120"/>
        <w:ind w:left="1418" w:hanging="1418"/>
        <w:rPr>
          <w:rFonts w:cs="Garamond"/>
          <w:b/>
          <w:color w:val="000000"/>
          <w:sz w:val="32"/>
          <w:szCs w:val="32"/>
        </w:rPr>
      </w:pPr>
      <w:r w:rsidRPr="005D7C7A">
        <w:rPr>
          <w:rFonts w:cs="Garamond"/>
          <w:b/>
          <w:color w:val="000000"/>
          <w:sz w:val="32"/>
          <w:szCs w:val="32"/>
        </w:rPr>
        <w:t>Sustainability Literacy: What is its Impact on Pro-Environmental Behavior and Students' Ecological Competence</w:t>
      </w:r>
      <w:r w:rsidR="00DE4ADB">
        <w:rPr>
          <w:rFonts w:cs="Garamond"/>
          <w:b/>
          <w:color w:val="000000"/>
          <w:sz w:val="32"/>
          <w:szCs w:val="32"/>
        </w:rPr>
        <w:t>?</w:t>
      </w:r>
    </w:p>
    <w:p w14:paraId="00000006" w14:textId="1AF41F62" w:rsidR="00554F16" w:rsidRPr="003E360C" w:rsidRDefault="00733404" w:rsidP="005D7C7A">
      <w:pPr>
        <w:pBdr>
          <w:top w:val="nil"/>
          <w:left w:val="nil"/>
          <w:bottom w:val="nil"/>
          <w:right w:val="nil"/>
          <w:between w:val="nil"/>
        </w:pBdr>
        <w:spacing w:after="120"/>
        <w:ind w:left="1418" w:firstLine="0"/>
        <w:rPr>
          <w:rFonts w:cs="Garamond"/>
          <w:b/>
          <w:color w:val="000000"/>
          <w:sz w:val="20"/>
          <w:szCs w:val="20"/>
          <w:vertAlign w:val="superscript"/>
        </w:rPr>
      </w:pPr>
      <w:r>
        <w:rPr>
          <w:rFonts w:cs="Garamond"/>
          <w:b/>
          <w:color w:val="000000"/>
          <w:sz w:val="20"/>
          <w:szCs w:val="20"/>
        </w:rPr>
        <w:t>Tria Mubarokah</w:t>
      </w:r>
      <w:r w:rsidR="007E12B9">
        <w:rPr>
          <w:rFonts w:cs="Garamond"/>
          <w:b/>
          <w:color w:val="000000"/>
          <w:sz w:val="20"/>
          <w:szCs w:val="20"/>
          <w:vertAlign w:val="superscript"/>
        </w:rPr>
        <w:t>1</w:t>
      </w:r>
      <w:r w:rsidR="007E12B9">
        <w:rPr>
          <w:rFonts w:cs="Garamond"/>
          <w:b/>
          <w:color w:val="000000"/>
          <w:sz w:val="20"/>
          <w:szCs w:val="20"/>
        </w:rPr>
        <w:t xml:space="preserve">, </w:t>
      </w:r>
      <w:r>
        <w:rPr>
          <w:rFonts w:cs="Garamond"/>
          <w:b/>
          <w:color w:val="000000"/>
          <w:sz w:val="20"/>
          <w:szCs w:val="20"/>
        </w:rPr>
        <w:t>Wirawan Fadly</w:t>
      </w:r>
      <w:r w:rsidR="007E12B9">
        <w:rPr>
          <w:rFonts w:cs="Garamond"/>
          <w:b/>
          <w:color w:val="000000"/>
          <w:sz w:val="20"/>
          <w:szCs w:val="20"/>
          <w:vertAlign w:val="superscript"/>
        </w:rPr>
        <w:t>2</w:t>
      </w:r>
      <w:r w:rsidR="007E12B9">
        <w:rPr>
          <w:rFonts w:cs="Garamond"/>
          <w:b/>
          <w:color w:val="000000"/>
          <w:sz w:val="20"/>
          <w:szCs w:val="20"/>
        </w:rPr>
        <w:t xml:space="preserve">, </w:t>
      </w:r>
      <w:r w:rsidR="003E360C" w:rsidRPr="003E360C">
        <w:rPr>
          <w:rFonts w:cs="Garamond"/>
          <w:b/>
          <w:color w:val="000000"/>
          <w:sz w:val="20"/>
          <w:szCs w:val="20"/>
        </w:rPr>
        <w:t xml:space="preserve">Sam </w:t>
      </w:r>
      <w:proofErr w:type="spellStart"/>
      <w:r w:rsidR="003E360C" w:rsidRPr="003E360C">
        <w:rPr>
          <w:rFonts w:cs="Garamond"/>
          <w:b/>
          <w:color w:val="000000"/>
          <w:sz w:val="20"/>
          <w:szCs w:val="20"/>
        </w:rPr>
        <w:t>Ol</w:t>
      </w:r>
      <w:proofErr w:type="spellEnd"/>
      <w:r w:rsidR="003E360C" w:rsidRPr="003E360C">
        <w:rPr>
          <w:rFonts w:cs="Garamond"/>
          <w:b/>
          <w:color w:val="000000"/>
          <w:sz w:val="20"/>
          <w:szCs w:val="20"/>
        </w:rPr>
        <w:t xml:space="preserve"> Kong</w:t>
      </w:r>
      <w:r w:rsidR="003E360C">
        <w:rPr>
          <w:rFonts w:cs="Garamond"/>
          <w:b/>
          <w:color w:val="000000"/>
          <w:sz w:val="20"/>
          <w:szCs w:val="20"/>
          <w:vertAlign w:val="superscript"/>
        </w:rPr>
        <w:t>3</w:t>
      </w:r>
    </w:p>
    <w:p w14:paraId="00000007" w14:textId="1D401573" w:rsidR="00554F16" w:rsidRDefault="007E12B9">
      <w:pPr>
        <w:pBdr>
          <w:top w:val="nil"/>
          <w:left w:val="nil"/>
          <w:bottom w:val="nil"/>
          <w:right w:val="nil"/>
          <w:between w:val="nil"/>
        </w:pBdr>
        <w:ind w:left="1418" w:firstLine="0"/>
        <w:rPr>
          <w:rFonts w:cs="Garamond"/>
          <w:i/>
          <w:color w:val="000000"/>
          <w:sz w:val="20"/>
          <w:szCs w:val="20"/>
        </w:rPr>
      </w:pPr>
      <w:r>
        <w:rPr>
          <w:rFonts w:cs="Garamond"/>
          <w:i/>
          <w:color w:val="000000"/>
          <w:sz w:val="20"/>
          <w:szCs w:val="20"/>
          <w:vertAlign w:val="superscript"/>
        </w:rPr>
        <w:t xml:space="preserve">1 </w:t>
      </w:r>
      <w:r w:rsidR="00733404" w:rsidRPr="00733404">
        <w:rPr>
          <w:rFonts w:cs="Garamond"/>
          <w:i/>
          <w:color w:val="000000"/>
          <w:sz w:val="20"/>
          <w:szCs w:val="20"/>
        </w:rPr>
        <w:t xml:space="preserve">Universitas Islam Negeri Kiai </w:t>
      </w:r>
      <w:proofErr w:type="spellStart"/>
      <w:r w:rsidR="00733404" w:rsidRPr="00733404">
        <w:rPr>
          <w:rFonts w:cs="Garamond"/>
          <w:i/>
          <w:color w:val="000000"/>
          <w:sz w:val="20"/>
          <w:szCs w:val="20"/>
        </w:rPr>
        <w:t>Ageng</w:t>
      </w:r>
      <w:proofErr w:type="spellEnd"/>
      <w:r w:rsidR="00733404" w:rsidRPr="00733404">
        <w:rPr>
          <w:rFonts w:cs="Garamond"/>
          <w:i/>
          <w:color w:val="000000"/>
          <w:sz w:val="20"/>
          <w:szCs w:val="20"/>
        </w:rPr>
        <w:t xml:space="preserve"> Muhammad </w:t>
      </w:r>
      <w:proofErr w:type="spellStart"/>
      <w:r w:rsidR="00733404" w:rsidRPr="00733404">
        <w:rPr>
          <w:rFonts w:cs="Garamond"/>
          <w:i/>
          <w:color w:val="000000"/>
          <w:sz w:val="20"/>
          <w:szCs w:val="20"/>
        </w:rPr>
        <w:t>Besari</w:t>
      </w:r>
      <w:proofErr w:type="spellEnd"/>
      <w:r w:rsidR="00733404" w:rsidRPr="00733404">
        <w:rPr>
          <w:rFonts w:cs="Garamond"/>
          <w:i/>
          <w:color w:val="000000"/>
          <w:sz w:val="20"/>
          <w:szCs w:val="20"/>
        </w:rPr>
        <w:t xml:space="preserve"> </w:t>
      </w:r>
      <w:proofErr w:type="spellStart"/>
      <w:r w:rsidR="00733404" w:rsidRPr="00733404">
        <w:rPr>
          <w:rFonts w:cs="Garamond"/>
          <w:i/>
          <w:color w:val="000000"/>
          <w:sz w:val="20"/>
          <w:szCs w:val="20"/>
        </w:rPr>
        <w:t>Ponorogo</w:t>
      </w:r>
      <w:proofErr w:type="spellEnd"/>
      <w:r>
        <w:rPr>
          <w:rFonts w:cs="Garamond"/>
          <w:i/>
          <w:color w:val="000000"/>
          <w:sz w:val="20"/>
          <w:szCs w:val="20"/>
        </w:rPr>
        <w:t xml:space="preserve">, </w:t>
      </w:r>
      <w:r w:rsidR="00733404">
        <w:rPr>
          <w:rFonts w:cs="Garamond"/>
          <w:i/>
          <w:color w:val="000000"/>
          <w:sz w:val="20"/>
          <w:szCs w:val="20"/>
        </w:rPr>
        <w:t>Indonesia</w:t>
      </w:r>
    </w:p>
    <w:p w14:paraId="00000008" w14:textId="2264C267" w:rsidR="00554F16" w:rsidRDefault="007E12B9">
      <w:pPr>
        <w:pBdr>
          <w:top w:val="nil"/>
          <w:left w:val="nil"/>
          <w:bottom w:val="nil"/>
          <w:right w:val="nil"/>
          <w:between w:val="nil"/>
        </w:pBdr>
        <w:ind w:left="1418" w:firstLine="0"/>
        <w:rPr>
          <w:rFonts w:cs="Garamond"/>
          <w:i/>
          <w:color w:val="000000"/>
          <w:sz w:val="20"/>
          <w:szCs w:val="20"/>
        </w:rPr>
      </w:pPr>
      <w:r>
        <w:rPr>
          <w:rFonts w:cs="Garamond"/>
          <w:i/>
          <w:color w:val="000000"/>
          <w:sz w:val="20"/>
          <w:szCs w:val="20"/>
          <w:vertAlign w:val="superscript"/>
        </w:rPr>
        <w:t xml:space="preserve">2 </w:t>
      </w:r>
      <w:r w:rsidR="00733404" w:rsidRPr="00733404">
        <w:rPr>
          <w:rFonts w:cs="Garamond"/>
          <w:i/>
          <w:color w:val="000000"/>
          <w:sz w:val="20"/>
          <w:szCs w:val="20"/>
        </w:rPr>
        <w:t xml:space="preserve">Universitas Islam Negeri Kiai </w:t>
      </w:r>
      <w:proofErr w:type="spellStart"/>
      <w:r w:rsidR="00733404" w:rsidRPr="00733404">
        <w:rPr>
          <w:rFonts w:cs="Garamond"/>
          <w:i/>
          <w:color w:val="000000"/>
          <w:sz w:val="20"/>
          <w:szCs w:val="20"/>
        </w:rPr>
        <w:t>Ageng</w:t>
      </w:r>
      <w:proofErr w:type="spellEnd"/>
      <w:r w:rsidR="00733404" w:rsidRPr="00733404">
        <w:rPr>
          <w:rFonts w:cs="Garamond"/>
          <w:i/>
          <w:color w:val="000000"/>
          <w:sz w:val="20"/>
          <w:szCs w:val="20"/>
        </w:rPr>
        <w:t xml:space="preserve"> Muhammad </w:t>
      </w:r>
      <w:proofErr w:type="spellStart"/>
      <w:r w:rsidR="00733404" w:rsidRPr="00733404">
        <w:rPr>
          <w:rFonts w:cs="Garamond"/>
          <w:i/>
          <w:color w:val="000000"/>
          <w:sz w:val="20"/>
          <w:szCs w:val="20"/>
        </w:rPr>
        <w:t>Besari</w:t>
      </w:r>
      <w:proofErr w:type="spellEnd"/>
      <w:r w:rsidR="00733404" w:rsidRPr="00733404">
        <w:rPr>
          <w:rFonts w:cs="Garamond"/>
          <w:i/>
          <w:color w:val="000000"/>
          <w:sz w:val="20"/>
          <w:szCs w:val="20"/>
        </w:rPr>
        <w:t xml:space="preserve"> </w:t>
      </w:r>
      <w:proofErr w:type="spellStart"/>
      <w:r w:rsidR="00733404" w:rsidRPr="00733404">
        <w:rPr>
          <w:rFonts w:cs="Garamond"/>
          <w:i/>
          <w:color w:val="000000"/>
          <w:sz w:val="20"/>
          <w:szCs w:val="20"/>
        </w:rPr>
        <w:t>Ponorogo</w:t>
      </w:r>
      <w:proofErr w:type="spellEnd"/>
      <w:r w:rsidR="00733404">
        <w:rPr>
          <w:rFonts w:cs="Garamond"/>
          <w:i/>
          <w:color w:val="000000"/>
          <w:sz w:val="20"/>
          <w:szCs w:val="20"/>
        </w:rPr>
        <w:t>, Indonesia</w:t>
      </w:r>
    </w:p>
    <w:p w14:paraId="0E82AE0E" w14:textId="4E974E0E" w:rsidR="003E360C" w:rsidRPr="003E360C" w:rsidRDefault="003E360C">
      <w:pPr>
        <w:pBdr>
          <w:top w:val="nil"/>
          <w:left w:val="nil"/>
          <w:bottom w:val="nil"/>
          <w:right w:val="nil"/>
          <w:between w:val="nil"/>
        </w:pBdr>
        <w:ind w:left="1418" w:firstLine="0"/>
        <w:rPr>
          <w:rFonts w:cs="Garamond"/>
          <w:i/>
          <w:color w:val="000000"/>
          <w:sz w:val="20"/>
          <w:szCs w:val="20"/>
        </w:rPr>
      </w:pPr>
      <w:r>
        <w:rPr>
          <w:rFonts w:cs="Garamond"/>
          <w:i/>
          <w:color w:val="000000"/>
          <w:sz w:val="20"/>
          <w:szCs w:val="20"/>
          <w:vertAlign w:val="superscript"/>
        </w:rPr>
        <w:t>3</w:t>
      </w:r>
      <w:r w:rsidRPr="003E360C">
        <w:rPr>
          <w:rFonts w:cs="Garamond"/>
          <w:i/>
          <w:color w:val="000000"/>
          <w:sz w:val="20"/>
          <w:szCs w:val="20"/>
        </w:rPr>
        <w:t>Phnom Penh Teacher Education College (PTEC), Cambodia</w:t>
      </w:r>
    </w:p>
    <w:p w14:paraId="00000009" w14:textId="78875AE7" w:rsidR="00554F16" w:rsidRDefault="00554F16">
      <w:pPr>
        <w:pBdr>
          <w:top w:val="nil"/>
          <w:left w:val="nil"/>
          <w:bottom w:val="nil"/>
          <w:right w:val="nil"/>
          <w:between w:val="nil"/>
        </w:pBdr>
        <w:ind w:left="1418" w:firstLine="0"/>
        <w:rPr>
          <w:rFonts w:cs="Garamond"/>
          <w:i/>
          <w:color w:val="000000"/>
          <w:sz w:val="20"/>
          <w:szCs w:val="20"/>
        </w:rPr>
      </w:pPr>
    </w:p>
    <w:p w14:paraId="0000000A" w14:textId="77777777" w:rsidR="00554F16" w:rsidRDefault="00554F16">
      <w:pPr>
        <w:pBdr>
          <w:top w:val="nil"/>
          <w:left w:val="nil"/>
          <w:bottom w:val="nil"/>
          <w:right w:val="nil"/>
          <w:between w:val="nil"/>
        </w:pBdr>
        <w:ind w:firstLine="0"/>
        <w:jc w:val="center"/>
        <w:rPr>
          <w:rFonts w:cs="Garamond"/>
          <w:i/>
          <w:color w:val="000000"/>
          <w:sz w:val="20"/>
          <w:szCs w:val="20"/>
        </w:rPr>
      </w:pPr>
    </w:p>
    <w:p w14:paraId="0000000B" w14:textId="7B80CC50" w:rsidR="00554F16" w:rsidRDefault="007E12B9">
      <w:pPr>
        <w:pBdr>
          <w:top w:val="nil"/>
          <w:left w:val="nil"/>
          <w:bottom w:val="nil"/>
          <w:right w:val="nil"/>
          <w:between w:val="nil"/>
        </w:pBdr>
        <w:spacing w:after="240"/>
        <w:ind w:left="1418" w:firstLine="0"/>
        <w:rPr>
          <w:rFonts w:cs="Garamond"/>
          <w:i/>
          <w:color w:val="000000"/>
          <w:sz w:val="20"/>
          <w:szCs w:val="20"/>
        </w:rPr>
      </w:pPr>
      <w:r>
        <w:rPr>
          <w:rFonts w:cs="Garamond"/>
          <w:i/>
          <w:color w:val="000000"/>
          <w:sz w:val="20"/>
          <w:szCs w:val="20"/>
        </w:rPr>
        <w:t xml:space="preserve">*Correspondence Author: </w:t>
      </w:r>
      <w:r w:rsidR="00733404">
        <w:rPr>
          <w:rFonts w:cs="Garamond"/>
          <w:i/>
          <w:color w:val="000000"/>
          <w:sz w:val="20"/>
          <w:szCs w:val="20"/>
        </w:rPr>
        <w:t>wirawanfadly@uinponorogo.ac.id</w:t>
      </w:r>
    </w:p>
    <w:p w14:paraId="0000000C" w14:textId="01E85CAA" w:rsidR="00554F16" w:rsidRDefault="007E12B9">
      <w:pPr>
        <w:pBdr>
          <w:top w:val="nil"/>
          <w:left w:val="nil"/>
          <w:bottom w:val="nil"/>
          <w:right w:val="nil"/>
          <w:between w:val="nil"/>
        </w:pBdr>
        <w:spacing w:after="480"/>
        <w:ind w:left="1418" w:firstLine="0"/>
        <w:jc w:val="center"/>
        <w:rPr>
          <w:rFonts w:cs="Garamond"/>
          <w:color w:val="000000"/>
          <w:sz w:val="20"/>
          <w:szCs w:val="20"/>
        </w:rPr>
      </w:pPr>
      <w:r>
        <w:rPr>
          <w:rFonts w:cs="Garamond"/>
          <w:color w:val="000000"/>
          <w:sz w:val="20"/>
          <w:szCs w:val="20"/>
        </w:rPr>
        <w:t xml:space="preserve"> </w:t>
      </w:r>
    </w:p>
    <w:p w14:paraId="0000000D" w14:textId="77777777" w:rsidR="00554F16" w:rsidRDefault="007E12B9">
      <w:pPr>
        <w:pBdr>
          <w:top w:val="nil"/>
          <w:left w:val="nil"/>
          <w:bottom w:val="nil"/>
          <w:right w:val="nil"/>
          <w:between w:val="nil"/>
        </w:pBdr>
        <w:spacing w:before="240"/>
        <w:ind w:left="1418" w:hanging="1418"/>
        <w:jc w:val="both"/>
        <w:rPr>
          <w:rFonts w:cs="Garamond"/>
          <w:b/>
          <w:color w:val="000000"/>
          <w:sz w:val="20"/>
          <w:szCs w:val="20"/>
        </w:rPr>
      </w:pPr>
      <w:r>
        <w:rPr>
          <w:rFonts w:cs="Garamond"/>
          <w:b/>
          <w:color w:val="000000"/>
          <w:sz w:val="20"/>
          <w:szCs w:val="20"/>
        </w:rPr>
        <w:t>ABSTRACT</w:t>
      </w:r>
    </w:p>
    <w:p w14:paraId="585A1AA2" w14:textId="77777777" w:rsidR="003E6CCE" w:rsidRDefault="003E6CCE">
      <w:pPr>
        <w:pBdr>
          <w:top w:val="nil"/>
          <w:left w:val="nil"/>
          <w:bottom w:val="nil"/>
          <w:right w:val="nil"/>
          <w:between w:val="nil"/>
        </w:pBdr>
        <w:spacing w:after="480"/>
        <w:ind w:left="1418" w:hanging="1418"/>
        <w:jc w:val="both"/>
        <w:rPr>
          <w:rFonts w:cs="Garamond"/>
          <w:i/>
          <w:color w:val="333333"/>
          <w:sz w:val="20"/>
          <w:szCs w:val="20"/>
        </w:rPr>
      </w:pPr>
      <w:r w:rsidRPr="003E6CCE">
        <w:rPr>
          <w:rFonts w:cs="Garamond"/>
          <w:i/>
          <w:color w:val="333333"/>
          <w:sz w:val="20"/>
          <w:szCs w:val="20"/>
        </w:rPr>
        <w:t xml:space="preserve">The global environmental crisis demands behavioral transformation through education on sustainable development. This study aims to analyze the effect of understanding the concept of sustainable development on pro-environmental behavior and ecological competence among students at MA Al-Islam </w:t>
      </w:r>
      <w:proofErr w:type="spellStart"/>
      <w:r w:rsidRPr="003E6CCE">
        <w:rPr>
          <w:rFonts w:cs="Garamond"/>
          <w:i/>
          <w:color w:val="333333"/>
          <w:sz w:val="20"/>
          <w:szCs w:val="20"/>
        </w:rPr>
        <w:t>Joresan</w:t>
      </w:r>
      <w:proofErr w:type="spellEnd"/>
      <w:r w:rsidRPr="003E6CCE">
        <w:rPr>
          <w:rFonts w:cs="Garamond"/>
          <w:i/>
          <w:color w:val="333333"/>
          <w:sz w:val="20"/>
          <w:szCs w:val="20"/>
        </w:rPr>
        <w:t>. The research method used was quantitative with a Partial Least Squares Structural Equation Modeling (PLS-SEM) approach. The research sample was determined using a saturated sampling technique for 11th grade science students. Based on data selection criteria and outlier tests, the analysis focused on 20 selected respondents to ensure model precision. The PLS-SEM analysis results prove that conceptual understanding has a positive and significant effect on pro-environmental behavior (R</w:t>
      </w:r>
      <w:r w:rsidRPr="003E6CCE">
        <w:rPr>
          <w:rFonts w:cs="Garamond"/>
          <w:i/>
          <w:color w:val="333333"/>
          <w:sz w:val="20"/>
          <w:szCs w:val="20"/>
          <w:vertAlign w:val="superscript"/>
        </w:rPr>
        <w:t>2</w:t>
      </w:r>
      <w:r w:rsidRPr="003E6CCE">
        <w:rPr>
          <w:rFonts w:cs="Garamond"/>
          <w:i/>
          <w:color w:val="333333"/>
          <w:sz w:val="20"/>
          <w:szCs w:val="20"/>
        </w:rPr>
        <w:t xml:space="preserve"> = 0.780) and ecological competence (R</w:t>
      </w:r>
      <w:r w:rsidRPr="003E6CCE">
        <w:rPr>
          <w:rFonts w:cs="Garamond"/>
          <w:i/>
          <w:color w:val="333333"/>
          <w:sz w:val="20"/>
          <w:szCs w:val="20"/>
          <w:vertAlign w:val="superscript"/>
        </w:rPr>
        <w:t xml:space="preserve">2 </w:t>
      </w:r>
      <w:r w:rsidRPr="003E6CCE">
        <w:rPr>
          <w:rFonts w:cs="Garamond"/>
          <w:i/>
          <w:color w:val="333333"/>
          <w:sz w:val="20"/>
          <w:szCs w:val="20"/>
        </w:rPr>
        <w:t>= 0.646). These findings indicate that strengthening cognitive literacy regarding sustainability is a key factor that encourages real environmental action in schools. However, the lower contribution to the ecological competence variable indicates a need to improve higher-order thinking skills in analyzing complex ecological systems. This study recommends the integration of more in-depth scientific and socio-scientific reasoning into the madrasah curriculum to bridge the gap between theoretical understanding and ecosystem analysis skills.</w:t>
      </w:r>
    </w:p>
    <w:p w14:paraId="0000000F" w14:textId="13F7F033" w:rsidR="00554F16" w:rsidRDefault="007E12B9">
      <w:pPr>
        <w:pBdr>
          <w:top w:val="nil"/>
          <w:left w:val="nil"/>
          <w:bottom w:val="nil"/>
          <w:right w:val="nil"/>
          <w:between w:val="nil"/>
        </w:pBdr>
        <w:spacing w:after="480"/>
        <w:ind w:left="1418" w:hanging="1418"/>
        <w:jc w:val="both"/>
        <w:rPr>
          <w:rFonts w:cs="Garamond"/>
          <w:color w:val="000000"/>
          <w:sz w:val="20"/>
          <w:szCs w:val="20"/>
        </w:rPr>
      </w:pPr>
      <w:r>
        <w:rPr>
          <w:rFonts w:cs="Garamond"/>
          <w:b/>
          <w:color w:val="000000"/>
          <w:sz w:val="20"/>
          <w:szCs w:val="20"/>
        </w:rPr>
        <w:t>Keywords</w:t>
      </w:r>
      <w:r>
        <w:rPr>
          <w:rFonts w:cs="Garamond"/>
          <w:color w:val="000000"/>
          <w:sz w:val="20"/>
          <w:szCs w:val="20"/>
        </w:rPr>
        <w:t xml:space="preserve">: </w:t>
      </w:r>
      <w:r w:rsidR="003E6CCE" w:rsidRPr="003E6CCE">
        <w:rPr>
          <w:rFonts w:cs="Garamond"/>
          <w:i/>
          <w:color w:val="000000"/>
          <w:sz w:val="20"/>
          <w:szCs w:val="20"/>
        </w:rPr>
        <w:t>ecological competence, sustainable development, pro-environmental behavior, PLS-SEM</w:t>
      </w:r>
      <w:r>
        <w:rPr>
          <w:rFonts w:cs="Garamond"/>
          <w:color w:val="000000"/>
          <w:sz w:val="20"/>
          <w:szCs w:val="20"/>
        </w:rPr>
        <w:t xml:space="preserve"> </w:t>
      </w:r>
    </w:p>
    <w:p w14:paraId="7A8A81EA" w14:textId="2EA6F5A1" w:rsidR="007A77A1" w:rsidRDefault="007E12B9" w:rsidP="007A77A1">
      <w:pPr>
        <w:keepNext/>
        <w:pBdr>
          <w:top w:val="nil"/>
          <w:left w:val="nil"/>
          <w:bottom w:val="nil"/>
          <w:right w:val="nil"/>
          <w:between w:val="nil"/>
        </w:pBdr>
        <w:spacing w:before="480" w:after="120"/>
        <w:ind w:firstLine="0"/>
        <w:rPr>
          <w:rFonts w:cs="Garamond"/>
          <w:b/>
          <w:smallCaps/>
          <w:color w:val="000000"/>
          <w:szCs w:val="24"/>
        </w:rPr>
      </w:pPr>
      <w:bookmarkStart w:id="0" w:name="_heading=h.gjdgxs" w:colFirst="0" w:colLast="0"/>
      <w:bookmarkEnd w:id="0"/>
      <w:r>
        <w:rPr>
          <w:rFonts w:cs="Garamond"/>
          <w:b/>
          <w:smallCaps/>
          <w:color w:val="000000"/>
          <w:szCs w:val="24"/>
        </w:rPr>
        <w:t>INTRODUCTION</w:t>
      </w:r>
    </w:p>
    <w:p w14:paraId="35642C13" w14:textId="5629F2A2" w:rsidR="003E6CCE" w:rsidRDefault="003E6CCE" w:rsidP="00504F88">
      <w:pPr>
        <w:ind w:firstLine="0"/>
        <w:jc w:val="both"/>
        <w:rPr>
          <w:b/>
          <w:szCs w:val="24"/>
        </w:rPr>
      </w:pPr>
      <w:r w:rsidRPr="00504F88">
        <w:rPr>
          <w:b/>
          <w:szCs w:val="24"/>
        </w:rPr>
        <w:t>The Importance of Environmental Issues and Sustainable Development</w:t>
      </w:r>
    </w:p>
    <w:p w14:paraId="224E2631" w14:textId="77777777" w:rsidR="007A77A1" w:rsidRPr="00504F88" w:rsidRDefault="007A77A1" w:rsidP="00504F88">
      <w:pPr>
        <w:ind w:firstLine="0"/>
        <w:jc w:val="both"/>
        <w:rPr>
          <w:b/>
          <w:szCs w:val="24"/>
        </w:rPr>
      </w:pPr>
    </w:p>
    <w:p w14:paraId="5EFB9B8F" w14:textId="77777777" w:rsidR="003E6CCE" w:rsidRPr="00504F88" w:rsidRDefault="003E6CCE" w:rsidP="00504F88">
      <w:pPr>
        <w:ind w:firstLine="720"/>
        <w:jc w:val="both"/>
        <w:rPr>
          <w:b/>
          <w:szCs w:val="24"/>
        </w:rPr>
      </w:pPr>
      <w:r w:rsidRPr="00504F88">
        <w:rPr>
          <w:bCs/>
          <w:szCs w:val="24"/>
        </w:rPr>
        <w:t xml:space="preserve">The world today is facing a serious global environmental crisis, where various challenges such as global warming, ecosystem destruction, air pollution, and the decline in the quality of natural resources continue to threaten the survival of humans and the planet </w:t>
      </w:r>
      <w:r w:rsidRPr="00504F88">
        <w:rPr>
          <w:bCs/>
          <w:szCs w:val="24"/>
        </w:rPr>
        <w:fldChar w:fldCharType="begin" w:fldLock="1"/>
      </w:r>
      <w:r w:rsidRPr="00504F88">
        <w:rPr>
          <w:bCs/>
          <w:szCs w:val="24"/>
        </w:rPr>
        <w:instrText>ADDIN CSL_CITATION {"citationItems":[{"id":"ITEM-1","itemData":{"author":[{"dropping-particle":"","family":"Putro","given":"Herjuno","non-dropping-particle":"","parse-names":false,"suffix":""}],"id":"ITEM-1","issue":"3","issued":{"date-parts":[["2024"]]},"page":"111-120","title":"Melangkah Menuju Lingkungan yang Berkelanjutan : Tantangan dan Solusi untuk Masa Depan Bumi Melangkah Menuju Lingkungan yang Berkelanjutan : Tantangan Utama yang Dihadapi dalam Menjaga Keberlanjutan Lingkungan di","type":"article-journal","volume":"1"},"uris":["http://www.mendeley.com/documents/?uuid=1b9fd3ab-3f4c-4d77-808b-7e37b91a408e"]}],"mendeley":{"formattedCitation":"(Putro, 2024)","plainTextFormattedCitation":"(Putro, 2024)","previouslyFormattedCitation":"(Putro, 2024)"},"properties":{"noteIndex":0},"schema":"https://github.com/citation-style-language/schema/raw/master/csl-citation.json"}</w:instrText>
      </w:r>
      <w:r w:rsidRPr="00504F88">
        <w:rPr>
          <w:bCs/>
          <w:szCs w:val="24"/>
        </w:rPr>
        <w:fldChar w:fldCharType="separate"/>
      </w:r>
      <w:r w:rsidRPr="00504F88">
        <w:rPr>
          <w:bCs/>
          <w:noProof/>
          <w:szCs w:val="24"/>
        </w:rPr>
        <w:t>(Putro, 2024)</w:t>
      </w:r>
      <w:r w:rsidRPr="00504F88">
        <w:rPr>
          <w:bCs/>
          <w:szCs w:val="24"/>
        </w:rPr>
        <w:fldChar w:fldCharType="end"/>
      </w:r>
      <w:r w:rsidRPr="00504F88">
        <w:rPr>
          <w:bCs/>
          <w:szCs w:val="24"/>
        </w:rPr>
        <w:t xml:space="preserve">. Human activities are the main factor in increasing greenhouse gas emissions. Other factors contributing to global warming include waste, transportation, agriculture, and deforestation. </w:t>
      </w:r>
      <w:r w:rsidRPr="00504F88">
        <w:rPr>
          <w:bCs/>
          <w:szCs w:val="24"/>
        </w:rPr>
        <w:fldChar w:fldCharType="begin" w:fldLock="1"/>
      </w:r>
      <w:r w:rsidRPr="00504F88">
        <w:rPr>
          <w:bCs/>
          <w:szCs w:val="24"/>
        </w:rPr>
        <w:instrText>ADDIN CSL_CITATION {"citationItems":[{"id":"ITEM-1","itemData":{"author":[{"dropping-particle":"","family":"Rahmani","given":"Zahra","non-dropping-particle":"","parse-names":false,"suffix":""},{"dropping-particle":"","family":"Ahmadi","given":"Jamshid","non-dropping-particle":"","parse-names":false,"suffix":""}],"id":"ITEM-1","issued":{"date-parts":[["2024"]]},"page":"24-27","title":"Sprin Journal of Arts, Humanities and Social Sciences","type":"article-journal","volume":"2387"},"uris":["http://www.mendeley.com/documents/?uuid=22edf5b2-ad82-4ab0-928c-33556394938d"]}],"mendeley":{"formattedCitation":"(Rahmani &amp; Ahmadi, 2024)","plainTextFormattedCitation":"(Rahmani &amp; Ahmadi, 2024)","previouslyFormattedCitation":"(Rahmani &amp; Ahmadi, 2024)"},"properties":{"noteIndex":0},"schema":"https://github.com/citation-style-language/schema/raw/master/csl-citation.json"}</w:instrText>
      </w:r>
      <w:r w:rsidRPr="00504F88">
        <w:rPr>
          <w:bCs/>
          <w:szCs w:val="24"/>
        </w:rPr>
        <w:fldChar w:fldCharType="separate"/>
      </w:r>
      <w:r w:rsidRPr="00504F88">
        <w:rPr>
          <w:bCs/>
          <w:noProof/>
          <w:szCs w:val="24"/>
        </w:rPr>
        <w:t>(Rahmani &amp; Ahmadi, 2024)</w:t>
      </w:r>
      <w:r w:rsidRPr="00504F88">
        <w:rPr>
          <w:bCs/>
          <w:szCs w:val="24"/>
        </w:rPr>
        <w:fldChar w:fldCharType="end"/>
      </w:r>
      <w:r w:rsidRPr="00504F88">
        <w:rPr>
          <w:bCs/>
          <w:szCs w:val="24"/>
        </w:rPr>
        <w:t xml:space="preserve"> also revealed that global temperature rise is the result of several factors, including fluctuations in the concentration of greenhouse gases and particulates in the Earth's atmosphere, black carbon, methane, nitrous oxide, and chlorofluorocarbons. </w:t>
      </w:r>
    </w:p>
    <w:p w14:paraId="758BA1CD" w14:textId="77777777" w:rsidR="003E6CCE" w:rsidRPr="00504F88" w:rsidRDefault="003E6CCE" w:rsidP="00504F88">
      <w:pPr>
        <w:ind w:firstLine="720"/>
        <w:jc w:val="both"/>
        <w:rPr>
          <w:bCs/>
          <w:szCs w:val="24"/>
        </w:rPr>
      </w:pPr>
      <w:r w:rsidRPr="00504F88">
        <w:rPr>
          <w:bCs/>
          <w:szCs w:val="24"/>
        </w:rPr>
        <w:t xml:space="preserve">Human behavior is the basis of all aspects. In their existence, humans must always monitor and guide, especially the younger generation. Guidance and supervision regarding the environmental economy and the role of human activities in global warming are essential to reduce the adverse effects of its spread. Human activities have a far greater impact on the climate than natural phenomena such as solar fluctuations and volcanic eruptions </w:t>
      </w:r>
      <w:r w:rsidRPr="00504F88">
        <w:rPr>
          <w:bCs/>
          <w:szCs w:val="24"/>
        </w:rPr>
        <w:fldChar w:fldCharType="begin" w:fldLock="1"/>
      </w:r>
      <w:r w:rsidRPr="00504F88">
        <w:rPr>
          <w:bCs/>
          <w:szCs w:val="24"/>
        </w:rPr>
        <w:instrText>ADDIN CSL_CITATION {"citationItems":[{"id":"ITEM-1","itemData":{"author":[{"dropping-particle":"","family":"Liputo","given":"Muhammad Arif","non-dropping-particle":"","parse-names":false,"suffix":""}],"id":"ITEM-1","issue":"08","issued":{"date-parts":[["2025"]]},"page":"4029-4040","title":"Integrasi Ekonomi Hijau dalam Kurikulum dan Pembelajaran Ekonomi di Sekolah ( Membangun Generasi Peduli Lingkungan Melalui Pendidikan Ekonomi Berkelanjutan )","type":"article-journal","volume":"06"},"uris":["http://www.mendeley.com/documents/?uuid=29a8ac05-b71e-4d04-b7b8-9456e3141f61"]}],"mendeley":{"formattedCitation":"(Liputo, 2025)","plainTextFormattedCitation":"(Liputo, 2025)","previouslyFormattedCitation":"(Liputo, 2025)"},"properties":{"noteIndex":0},"schema":"https://github.com/citation-style-language/schema/raw/master/csl-citation.json"}</w:instrText>
      </w:r>
      <w:r w:rsidRPr="00504F88">
        <w:rPr>
          <w:bCs/>
          <w:szCs w:val="24"/>
        </w:rPr>
        <w:fldChar w:fldCharType="separate"/>
      </w:r>
      <w:r w:rsidRPr="00504F88">
        <w:rPr>
          <w:bCs/>
          <w:noProof/>
          <w:szCs w:val="24"/>
        </w:rPr>
        <w:t>(Liputo, 2025)</w:t>
      </w:r>
      <w:r w:rsidRPr="00504F88">
        <w:rPr>
          <w:bCs/>
          <w:szCs w:val="24"/>
        </w:rPr>
        <w:fldChar w:fldCharType="end"/>
      </w:r>
      <w:r w:rsidRPr="00504F88">
        <w:rPr>
          <w:bCs/>
          <w:szCs w:val="24"/>
        </w:rPr>
        <w:t xml:space="preserve">. Sustainable Development has emerged as an essential framework that aims to meet the needs of the current generation without compromising the ability of future generations </w:t>
      </w:r>
      <w:r w:rsidRPr="00504F88">
        <w:rPr>
          <w:szCs w:val="24"/>
        </w:rPr>
        <w:fldChar w:fldCharType="begin" w:fldLock="1"/>
      </w:r>
      <w:r w:rsidRPr="00504F88">
        <w:rPr>
          <w:szCs w:val="24"/>
        </w:rPr>
        <w:instrText>ADDIN CSL_CITATION {"citationItems":[{"id":"ITEM-1","itemData":{"author":[{"dropping-particle":"","family":"Rahmat","given":"Hayatul Khairul","non-dropping-particle":"","parse-names":false,"suffix":""}],"id":"ITEM-1","issue":"3","issued":{"date-parts":[["2024"]]},"page":"1057-1070","title":"MEWUJUDKAN PEMBANGUNAN BERKELANJUTAN DENGAN PERSPEKTIF LINGKUNGAN : SOLUSI UNTUK TANTANGAN GLOBAL ACHIEVING SUSTAINABLE DEVELOPMENT WITH AN ENVIRONMENTAL PERSPECTIVE : SOLUTIONS FOR Pendahuluan","type":"article-journal","volume":"7"},"uris":["http://www.mendeley.com/documents/?uuid=796942f1-8365-46c3-a827-a69d3acfa992"]}],"mendeley":{"formattedCitation":"(Rahmat, 2024)","plainTextFormattedCitation":"(Rahmat, 2024)","previouslyFormattedCitation":"(Rahmat, 2024)"},"properties":{"noteIndex":0},"schema":"https://github.com/citation-style-language/schema/raw/master/csl-citation.json"}</w:instrText>
      </w:r>
      <w:r w:rsidRPr="00504F88">
        <w:rPr>
          <w:szCs w:val="24"/>
        </w:rPr>
        <w:fldChar w:fldCharType="separate"/>
      </w:r>
      <w:r w:rsidRPr="00504F88">
        <w:rPr>
          <w:noProof/>
          <w:szCs w:val="24"/>
        </w:rPr>
        <w:t>(Rahmat, 2024)</w:t>
      </w:r>
      <w:r w:rsidRPr="00504F88">
        <w:rPr>
          <w:szCs w:val="24"/>
        </w:rPr>
        <w:fldChar w:fldCharType="end"/>
      </w:r>
      <w:r w:rsidRPr="00504F88">
        <w:rPr>
          <w:bCs/>
          <w:szCs w:val="24"/>
        </w:rPr>
        <w:t xml:space="preserve">. The concept of Sustainable Development integrates three main pillars, namely economy, society, and environment. </w:t>
      </w:r>
      <w:r w:rsidRPr="00504F88">
        <w:rPr>
          <w:bCs/>
          <w:szCs w:val="24"/>
        </w:rPr>
        <w:lastRenderedPageBreak/>
        <w:t xml:space="preserve">Climate change has become a global challenge that disrupts the balance of the ecosystem, thus requiring teaching materials to comprehensively improve students' climate literacy </w:t>
      </w:r>
      <w:r w:rsidRPr="00504F88">
        <w:rPr>
          <w:bCs/>
          <w:szCs w:val="24"/>
        </w:rPr>
        <w:fldChar w:fldCharType="begin" w:fldLock="1"/>
      </w:r>
      <w:r w:rsidRPr="00504F88">
        <w:rPr>
          <w:bCs/>
          <w:szCs w:val="24"/>
        </w:rPr>
        <w:instrText>ADDIN CSL_CITATION {"citationItems":[{"id":"ITEM-1","itemData":{"DOI":"10.15294/jpii.v12i4.43188","author":[{"dropping-particle":"","family":"Mutmainah","given":"O","non-dropping-particle":"","parse-names":false,"suffix":""},{"dropping-particle":"","family":"Norsaputra","given":"A","non-dropping-particle":"","parse-names":false,"suffix":""}],"id":"ITEM-1","issue":"4","issued":{"date-parts":[["2023"]]},"page":"526-537","title":"Jurnal Pendidikan IPA Indonesia IMPROVING CLIMATE LITERACY OF HIGH SCHOOL STUDENTS THROUGH PHYSICS TEACHING MATERIALS BASED ON STEM","type":"article-journal","volume":"12"},"uris":["http://www.mendeley.com/documents/?uuid=a508062e-a011-4c19-8eba-adc5fdbc64f4"]}],"mendeley":{"formattedCitation":"(Mutmainah &amp; Norsaputra, 2023)","plainTextFormattedCitation":"(Mutmainah &amp; Norsaputra, 2023)","previouslyFormattedCitation":"(Mutmainah &amp; Norsaputra, 2023)"},"properties":{"noteIndex":0},"schema":"https://github.com/citation-style-language/schema/raw/master/csl-citation.json"}</w:instrText>
      </w:r>
      <w:r w:rsidRPr="00504F88">
        <w:rPr>
          <w:bCs/>
          <w:szCs w:val="24"/>
        </w:rPr>
        <w:fldChar w:fldCharType="separate"/>
      </w:r>
      <w:r w:rsidRPr="00504F88">
        <w:rPr>
          <w:bCs/>
          <w:noProof/>
          <w:szCs w:val="24"/>
        </w:rPr>
        <w:t>(Mutmainah &amp; Norsaputra, 2023)</w:t>
      </w:r>
      <w:r w:rsidRPr="00504F88">
        <w:rPr>
          <w:bCs/>
          <w:szCs w:val="24"/>
        </w:rPr>
        <w:fldChar w:fldCharType="end"/>
      </w:r>
      <w:r w:rsidRPr="00504F88">
        <w:rPr>
          <w:bCs/>
          <w:szCs w:val="24"/>
        </w:rPr>
        <w:t xml:space="preserve">. The environmental awareness of the younger generation is also strengthened by digital interactions and the role of social media as a medium of advocacy in disseminating sustainable practices, making the integration of the green economy concept into the curriculum a key to building an educational ecosystem </w:t>
      </w:r>
      <w:r w:rsidRPr="00504F88">
        <w:rPr>
          <w:bCs/>
          <w:szCs w:val="24"/>
        </w:rPr>
        <w:fldChar w:fldCharType="begin" w:fldLock="1"/>
      </w:r>
      <w:r w:rsidRPr="00504F88">
        <w:rPr>
          <w:bCs/>
          <w:szCs w:val="24"/>
        </w:rPr>
        <w:instrText>ADDIN CSL_CITATION {"citationItems":[{"id":"ITEM-1","itemData":{"author":[{"dropping-particle":"","family":"Tass","given":"Mudasir Ahmad","non-dropping-particle":"","parse-names":false,"suffix":""},{"dropping-particle":"","family":"Malik","given":"Irshad Ahmad","non-dropping-particle":"","parse-names":false,"suffix":""}],"id":"ITEM-1","issued":{"date-parts":[["2025"]]},"page":"623-641","title":"Driving Environmental Change : The Impact of Social Media on Gen Z ’ s Sustainability Efforts","type":"article-journal","volume":"XXVI"},"uris":["http://www.mendeley.com/documents/?uuid=ea90d684-94c5-412e-a32b-872c6b444792"]}],"mendeley":{"formattedCitation":"(Tass &amp; Malik, 2025)","plainTextFormattedCitation":"(Tass &amp; Malik, 2025)","previouslyFormattedCitation":"(Tass &amp; Malik, 2025)"},"properties":{"noteIndex":0},"schema":"https://github.com/citation-style-language/schema/raw/master/csl-citation.json"}</w:instrText>
      </w:r>
      <w:r w:rsidRPr="00504F88">
        <w:rPr>
          <w:bCs/>
          <w:szCs w:val="24"/>
        </w:rPr>
        <w:fldChar w:fldCharType="separate"/>
      </w:r>
      <w:r w:rsidRPr="00504F88">
        <w:rPr>
          <w:bCs/>
          <w:noProof/>
          <w:szCs w:val="24"/>
        </w:rPr>
        <w:t>(Tass &amp; Malik, 2025)</w:t>
      </w:r>
      <w:r w:rsidRPr="00504F88">
        <w:rPr>
          <w:bCs/>
          <w:szCs w:val="24"/>
        </w:rPr>
        <w:fldChar w:fldCharType="end"/>
      </w:r>
      <w:r w:rsidRPr="00504F88">
        <w:rPr>
          <w:bCs/>
          <w:szCs w:val="24"/>
        </w:rPr>
        <w:t>.</w:t>
      </w:r>
    </w:p>
    <w:p w14:paraId="08CB220C" w14:textId="77777777" w:rsidR="003E6CCE" w:rsidRPr="00504F88" w:rsidRDefault="003E6CCE" w:rsidP="00504F88">
      <w:pPr>
        <w:jc w:val="both"/>
        <w:rPr>
          <w:szCs w:val="24"/>
        </w:rPr>
      </w:pPr>
    </w:p>
    <w:p w14:paraId="73E5E17A" w14:textId="2D0F30AE" w:rsidR="003E6CCE" w:rsidRDefault="003E6CCE" w:rsidP="00504F88">
      <w:pPr>
        <w:ind w:firstLine="0"/>
        <w:jc w:val="both"/>
        <w:rPr>
          <w:b/>
          <w:bCs/>
          <w:szCs w:val="24"/>
        </w:rPr>
      </w:pPr>
      <w:r w:rsidRPr="00504F88">
        <w:rPr>
          <w:b/>
          <w:bCs/>
          <w:szCs w:val="24"/>
        </w:rPr>
        <w:t>The Role of Education</w:t>
      </w:r>
    </w:p>
    <w:p w14:paraId="3ACB5183" w14:textId="77777777" w:rsidR="007A77A1" w:rsidRPr="00504F88" w:rsidRDefault="007A77A1" w:rsidP="00504F88">
      <w:pPr>
        <w:ind w:firstLine="0"/>
        <w:jc w:val="both"/>
        <w:rPr>
          <w:b/>
          <w:bCs/>
          <w:szCs w:val="24"/>
        </w:rPr>
      </w:pPr>
    </w:p>
    <w:p w14:paraId="5507EB39" w14:textId="77777777" w:rsidR="003E6CCE" w:rsidRPr="00504F88" w:rsidRDefault="003E6CCE" w:rsidP="00504F88">
      <w:pPr>
        <w:ind w:firstLine="720"/>
        <w:jc w:val="both"/>
        <w:rPr>
          <w:szCs w:val="24"/>
        </w:rPr>
      </w:pPr>
      <w:r w:rsidRPr="00504F88">
        <w:rPr>
          <w:szCs w:val="24"/>
        </w:rPr>
        <w:t xml:space="preserve">Education for Sustainable Development is a conscious and continuous process that is crucial for community development and instilling pro-environmental behavior and ecological skills in students </w:t>
      </w:r>
      <w:r w:rsidRPr="00504F88">
        <w:rPr>
          <w:szCs w:val="24"/>
        </w:rPr>
        <w:fldChar w:fldCharType="begin" w:fldLock="1"/>
      </w:r>
      <w:r w:rsidRPr="00504F88">
        <w:rPr>
          <w:szCs w:val="24"/>
        </w:rPr>
        <w:instrText>ADDIN CSL_CITATION {"citationItems":[{"id":"ITEM-1","itemData":{"DOI":"10.29303/jppipa.v11i9.12722","author":[{"dropping-particle":"","family":"Utami","given":"Budi","non-dropping-particle":"","parse-names":false,"suffix":""},{"dropping-particle":"","family":"Dwi","given":"Kadek","non-dropping-particle":"","parse-names":false,"suffix":""},{"dropping-particle":"","family":"Gunawan","given":"Hendratama","non-dropping-particle":"","parse-names":false,"suffix":""},{"dropping-particle":"","family":"Febri","given":"Endah","non-dropping-particle":"","parse-names":false,"suffix":""},{"dropping-particle":"","family":"Rini","given":"Setiya","non-dropping-particle":"","parse-names":false,"suffix":""}],"id":"ITEM-1","issue":"9","issued":{"date-parts":[["2025"]]},"page":"313-320","title":"The Implementation of Education for Sustainable Development ( ESD ) -Based Natural Science Learning to Empower Critical Thinking Skills and Scientific Literacy","type":"article-journal","volume":"11"},"uris":["http://www.mendeley.com/documents/?uuid=6abe8b50-1f19-4a1d-b333-6406798e5a9b"]}],"mendeley":{"formattedCitation":"(Utami et al., 2025)","plainTextFormattedCitation":"(Utami et al., 2025)","previouslyFormattedCitation":"(Utami et al., 2025)"},"properties":{"noteIndex":0},"schema":"https://github.com/citation-style-language/schema/raw/master/csl-citation.json"}</w:instrText>
      </w:r>
      <w:r w:rsidRPr="00504F88">
        <w:rPr>
          <w:szCs w:val="24"/>
        </w:rPr>
        <w:fldChar w:fldCharType="separate"/>
      </w:r>
      <w:r w:rsidRPr="00504F88">
        <w:rPr>
          <w:noProof/>
          <w:szCs w:val="24"/>
        </w:rPr>
        <w:t>(Utami et al., 2025)</w:t>
      </w:r>
      <w:r w:rsidRPr="00504F88">
        <w:rPr>
          <w:szCs w:val="24"/>
        </w:rPr>
        <w:fldChar w:fldCharType="end"/>
      </w:r>
      <w:r w:rsidRPr="00504F88">
        <w:rPr>
          <w:szCs w:val="24"/>
        </w:rPr>
        <w:t xml:space="preserve">. The Ministry of Education and Culture is committed to realizing education for sustainable development. Through Education for Sustainable Development, students are equipped with the attitudes, skills, and knowledge to make smart decisions. The integration of sustainable development concepts into the education curriculum is considered important. Many studies show that the preparation of educators in understanding Technology Pedagogical Content Knowledge (TPACK) based on ESD is key to effective learning </w:t>
      </w:r>
      <w:r w:rsidRPr="00504F88">
        <w:rPr>
          <w:szCs w:val="24"/>
        </w:rPr>
        <w:fldChar w:fldCharType="begin" w:fldLock="1"/>
      </w:r>
      <w:r w:rsidRPr="00504F88">
        <w:rPr>
          <w:szCs w:val="24"/>
        </w:rPr>
        <w:instrText>ADDIN CSL_CITATION {"citationItems":[{"id":"ITEM-1","itemData":{"DOI":"10.15294/jpii.v11i2.34772","author":[{"dropping-particle":"","family":"Purwianingsih","given":"W","non-dropping-particle":"","parse-names":false,"suffix":""},{"dropping-particle":"","family":"Novidsa","given":"I","non-dropping-particle":"","parse-names":false,"suffix":""},{"dropping-particle":"","family":"Riandi","given":"R","non-dropping-particle":"","parse-names":false,"suffix":""}],"id":"ITEM-1","issue":"2","issued":{"date-parts":[["2022"]]},"page":"219-228","title":"Jurnal Pendidikan IPA Indonesia PROGRAM FOR INTEGRATING EDUCATION FOR SUSTAINABLE DEVELOPMENT ( ESD ) INTO PROSPECTIVE BIOLOGY TEACHERS ’ TECHNOLOGICAL PEDAGOGICAL CONTENT KNOWLEDGE ( TPACK )","type":"article-journal","volume":"11"},"uris":["http://www.mendeley.com/documents/?uuid=a73373a0-b35b-4859-adfa-a5371fc87954"]}],"mendeley":{"formattedCitation":"(Purwianingsih et al., 2022)","plainTextFormattedCitation":"(Purwianingsih et al., 2022)","previouslyFormattedCitation":"(Purwianingsih et al., 2022)"},"properties":{"noteIndex":0},"schema":"https://github.com/citation-style-language/schema/raw/master/csl-citation.json"}</w:instrText>
      </w:r>
      <w:r w:rsidRPr="00504F88">
        <w:rPr>
          <w:szCs w:val="24"/>
        </w:rPr>
        <w:fldChar w:fldCharType="separate"/>
      </w:r>
      <w:r w:rsidRPr="00504F88">
        <w:rPr>
          <w:noProof/>
          <w:szCs w:val="24"/>
        </w:rPr>
        <w:t>(Purwianingsih et al., 2022)</w:t>
      </w:r>
      <w:r w:rsidRPr="00504F88">
        <w:rPr>
          <w:szCs w:val="24"/>
        </w:rPr>
        <w:fldChar w:fldCharType="end"/>
      </w:r>
      <w:r w:rsidRPr="00504F88">
        <w:rPr>
          <w:szCs w:val="24"/>
        </w:rPr>
        <w:t>.</w:t>
      </w:r>
      <w:r w:rsidRPr="00504F88">
        <w:rPr>
          <w:szCs w:val="24"/>
        </w:rPr>
        <w:tab/>
      </w:r>
    </w:p>
    <w:p w14:paraId="2BD7C4BF" w14:textId="6BEE1F7C" w:rsidR="003E6CCE" w:rsidRDefault="003E6CCE" w:rsidP="00504F88">
      <w:pPr>
        <w:jc w:val="both"/>
        <w:rPr>
          <w:szCs w:val="24"/>
        </w:rPr>
      </w:pPr>
      <w:r w:rsidRPr="00504F88">
        <w:rPr>
          <w:szCs w:val="24"/>
        </w:rPr>
        <w:tab/>
        <w:t xml:space="preserve">The implementation of sustainable development at MA Al-Islam </w:t>
      </w:r>
      <w:proofErr w:type="spellStart"/>
      <w:r w:rsidRPr="00504F88">
        <w:rPr>
          <w:szCs w:val="24"/>
        </w:rPr>
        <w:t>Joresan</w:t>
      </w:r>
      <w:proofErr w:type="spellEnd"/>
      <w:r w:rsidRPr="00504F88">
        <w:rPr>
          <w:szCs w:val="24"/>
        </w:rPr>
        <w:t xml:space="preserve"> does not stop at theoretical studies of Green Islamic Schools in national forums, but is realized in concrete actions through the P2RA program, one of which is organic fertilizer processing. Based on a preliminary study conducted by researchers using an integrative test instrument, there is a significant gap in understanding among students. The results of the study found that the lowest scores were in the range of 36-49, indicating misconceptions about the systemic relationship between physical and chemical phenomena and ecological impacts, such as in the case of acid rain and the carbon cycle. As in the research conducted by </w:t>
      </w:r>
      <w:r w:rsidRPr="00504F88">
        <w:rPr>
          <w:szCs w:val="24"/>
        </w:rPr>
        <w:fldChar w:fldCharType="begin" w:fldLock="1"/>
      </w:r>
      <w:r w:rsidRPr="00504F88">
        <w:rPr>
          <w:szCs w:val="24"/>
        </w:rPr>
        <w:instrText>ADDIN CSL_CITATION {"citationItems":[{"id":"ITEM-1","itemData":{"DOI":"10.46843/jiecr.v6i1.2185","author":[{"dropping-particle":"","family":"Mustika","given":"Rifqi Anjar","non-dropping-particle":"","parse-names":false,"suffix":""},{"dropping-particle":"","family":"Fadly","given":"Wirawan","non-dropping-particle":"","parse-names":false,"suffix":""},{"dropping-particle":"","family":"David","given":"Martinez","non-dropping-particle":"","parse-names":false,"suffix":""}],"id":"ITEM-1","issue":"1","issued":{"date-parts":[["2025"]]},"page":"220-228","title":"Students ' Socio-scientific Reasoning to Measure Decision-Making Ability Related to Sustainable Energy Issues","type":"article-journal","volume":"6"},"uris":["http://www.mendeley.com/documents/?uuid=f211e36e-97ec-40de-96d0-7947db07714c"]}],"mendeley":{"formattedCitation":"(Mustika et al., 2025)","plainTextFormattedCitation":"(Mustika et al., 2025)","previouslyFormattedCitation":"(Mustika et al., 2025)"},"properties":{"noteIndex":0},"schema":"https://github.com/citation-style-language/schema/raw/master/csl-citation.json"}</w:instrText>
      </w:r>
      <w:r w:rsidRPr="00504F88">
        <w:rPr>
          <w:szCs w:val="24"/>
        </w:rPr>
        <w:fldChar w:fldCharType="separate"/>
      </w:r>
      <w:r w:rsidRPr="00504F88">
        <w:rPr>
          <w:noProof/>
          <w:szCs w:val="24"/>
        </w:rPr>
        <w:t>(Mustika et al., 2025)</w:t>
      </w:r>
      <w:r w:rsidRPr="00504F88">
        <w:rPr>
          <w:szCs w:val="24"/>
        </w:rPr>
        <w:fldChar w:fldCharType="end"/>
      </w:r>
      <w:r w:rsidRPr="00504F88">
        <w:rPr>
          <w:szCs w:val="24"/>
        </w:rPr>
        <w:t>, students have a basic understanding of sustainability issues, but their capacity to analyze risks and make smart decisions on complex issues is still limited.</w:t>
      </w:r>
      <w:r w:rsidRPr="00504F88">
        <w:rPr>
          <w:szCs w:val="24"/>
        </w:rPr>
        <w:tab/>
      </w:r>
    </w:p>
    <w:p w14:paraId="293AC85E" w14:textId="247A9100" w:rsidR="00580137" w:rsidRDefault="00580137" w:rsidP="00504F88">
      <w:pPr>
        <w:jc w:val="both"/>
        <w:rPr>
          <w:szCs w:val="24"/>
        </w:rPr>
      </w:pPr>
      <w:r w:rsidRPr="00580137">
        <w:rPr>
          <w:szCs w:val="24"/>
        </w:rPr>
        <w:t>Students' inability to connect scientific concepts with environmental realities shows that conventional evaluation tools often fail to capture the depth of systemic thinking. The development of integrative testing tools in this study is key to detecting the extent to which students are able to synthesize multidisciplinary information into practical, sustainable solutions for their ecosystems.</w:t>
      </w:r>
    </w:p>
    <w:p w14:paraId="77D15DB7" w14:textId="68E63243" w:rsidR="00580137" w:rsidRPr="00580137" w:rsidRDefault="00580137" w:rsidP="00504F88">
      <w:pPr>
        <w:jc w:val="both"/>
        <w:rPr>
          <w:szCs w:val="24"/>
          <w:lang w:val="en-ID"/>
        </w:rPr>
      </w:pPr>
      <w:r w:rsidRPr="00580137">
        <w:rPr>
          <w:szCs w:val="24"/>
          <w:lang w:val="en-ID"/>
        </w:rPr>
        <w:t xml:space="preserve">In this rapidly developing digital age, environmental education faces challenges not only in traditional teaching methods, but also in how technology can transform abstract concepts into real learning experiences. The use of virtual simulations and artificial intelligence (AI)-powered platforms allows students to see the effects of carbon emissions </w:t>
      </w:r>
      <w:proofErr w:type="spellStart"/>
      <w:r w:rsidRPr="00580137">
        <w:rPr>
          <w:szCs w:val="24"/>
          <w:lang w:val="en-ID"/>
        </w:rPr>
        <w:t>firsthand</w:t>
      </w:r>
      <w:proofErr w:type="spellEnd"/>
      <w:r w:rsidRPr="00580137">
        <w:rPr>
          <w:szCs w:val="24"/>
          <w:lang w:val="en-ID"/>
        </w:rPr>
        <w:t>. This is particularly important because preliminary research indicates barriers to understanding systemic phenomena such as the carbon cycle. With the right visualizations, misunderstandings about its relationship to physical stress, chemical reactions, and environmental damage can be significantly reduced.</w:t>
      </w:r>
    </w:p>
    <w:p w14:paraId="0FA3A177" w14:textId="77777777" w:rsidR="003E6CCE" w:rsidRPr="00504F88" w:rsidRDefault="003E6CCE" w:rsidP="00504F88">
      <w:pPr>
        <w:ind w:firstLine="720"/>
        <w:jc w:val="both"/>
        <w:rPr>
          <w:szCs w:val="24"/>
        </w:rPr>
      </w:pPr>
      <w:r w:rsidRPr="00504F88">
        <w:rPr>
          <w:szCs w:val="24"/>
        </w:rPr>
        <w:t>Although there is a positive and significant correlation between environmental awareness and pro-environmental behavior, the implementation of sustainable development faces challenges in the gap between awareness and action (knowledge-action gap) (</w:t>
      </w:r>
      <w:r w:rsidRPr="00504F88">
        <w:rPr>
          <w:szCs w:val="24"/>
        </w:rPr>
        <w:fldChar w:fldCharType="begin" w:fldLock="1"/>
      </w:r>
      <w:r w:rsidRPr="00504F88">
        <w:rPr>
          <w:szCs w:val="24"/>
        </w:rPr>
        <w:instrText>ADDIN CSL_CITATION {"citationItems":[{"id":"ITEM-1","itemData":{"author":[{"dropping-particle":"","family":"Wang","given":"Huilin","non-dropping-particle":"","parse-names":false,"suffix":""},{"dropping-particle":"","family":"Mangmeechai","given":"Aweewan","non-dropping-particle":"","parse-names":false,"suffix":""}],"id":"ITEM-1","issued":{"date-parts":[["2021"]]},"title":"Understanding the Gap between Environmental Intention and Pro-Environmental Behavior towards the Waste Sorting and Management Policy of China","type":"article-journal"},"uris":["http://www.mendeley.com/documents/?uuid=54c9ff3d-1fb2-452b-bf2a-847f7962e9f1"]}],"mendeley":{"formattedCitation":"(Wang &amp; Mangmeechai, 2021)","plainTextFormattedCitation":"(Wang &amp; Mangmeechai, 2021)","previouslyFormattedCitation":"(Wang &amp; Mangmeechai, 2021)"},"properties":{"noteIndex":0},"schema":"https://github.com/citation-style-language/schema/raw/master/csl-citation.json"}</w:instrText>
      </w:r>
      <w:r w:rsidRPr="00504F88">
        <w:rPr>
          <w:szCs w:val="24"/>
        </w:rPr>
        <w:fldChar w:fldCharType="separate"/>
      </w:r>
      <w:r w:rsidRPr="00504F88">
        <w:rPr>
          <w:noProof/>
          <w:szCs w:val="24"/>
        </w:rPr>
        <w:t>(Wang &amp; Mangmeechai, 2021)</w:t>
      </w:r>
      <w:r w:rsidRPr="00504F88">
        <w:rPr>
          <w:szCs w:val="24"/>
        </w:rPr>
        <w:fldChar w:fldCharType="end"/>
      </w:r>
      <w:r w:rsidRPr="00504F88">
        <w:rPr>
          <w:szCs w:val="24"/>
        </w:rPr>
        <w:t xml:space="preserve">. Individuals with high environmental knowledge do not necessarily exhibit pro-environmental behavior due to the many barriers in this gap </w:t>
      </w:r>
      <w:r w:rsidRPr="00504F88">
        <w:rPr>
          <w:szCs w:val="24"/>
        </w:rPr>
        <w:fldChar w:fldCharType="begin" w:fldLock="1"/>
      </w:r>
      <w:r w:rsidRPr="00504F88">
        <w:rPr>
          <w:szCs w:val="24"/>
        </w:rPr>
        <w:instrText>ADDIN CSL_CITATION {"citationItems":[{"id":"ITEM-1","itemData":{"DOI":"10.1016/j.ecolecon.2021.107155","author":[{"dropping-particle":"","family":"Ringle","given":"Christian M","non-dropping-particle":"","parse-names":false,"suffix":""},{"dropping-particle":"","family":"Saari","given":"Ulla A","non-dropping-particle":"","parse-names":false,"suffix":""},{"dropping-particle":"","family":"Damberg","given":"Svenja","non-dropping-particle":"","parse-names":false,"suffix":""},{"dropping-particle":"","family":"Fr","given":"Lena","non-dropping-particle":"","parse-names":false,"suffix":""}],"id":"ITEM-1","issue":"April","issued":{"date-parts":[["2021"]]},"title":"Sustainable consumption behavior of Europeans : The influence of environmental knowledge and risk perception on environmental concern and behavioral intention","type":"article-journal","volume":"189"},"uris":["http://www.mendeley.com/documents/?uuid=ec5074db-cbdd-43e0-b380-c485317cfd27"]}],"mendeley":{"formattedCitation":"(Ringle et al., 2021)","plainTextFormattedCitation":"(Ringle et al., 2021)","previouslyFormattedCitation":"(Ringle et al., 2021)"},"properties":{"noteIndex":0},"schema":"https://github.com/citation-style-language/schema/raw/master/csl-citation.json"}</w:instrText>
      </w:r>
      <w:r w:rsidRPr="00504F88">
        <w:rPr>
          <w:szCs w:val="24"/>
        </w:rPr>
        <w:fldChar w:fldCharType="separate"/>
      </w:r>
      <w:r w:rsidRPr="00504F88">
        <w:rPr>
          <w:noProof/>
          <w:szCs w:val="24"/>
        </w:rPr>
        <w:t>(Ringle et al., 2021)</w:t>
      </w:r>
      <w:r w:rsidRPr="00504F88">
        <w:rPr>
          <w:szCs w:val="24"/>
        </w:rPr>
        <w:fldChar w:fldCharType="end"/>
      </w:r>
      <w:r w:rsidRPr="00504F88">
        <w:rPr>
          <w:szCs w:val="24"/>
        </w:rPr>
        <w:t xml:space="preserve">. In fact, research shows that environmental knowledge does not always correlate positively with pro-environmental behavior, indicating that relying solely on the cognitive aspect is not enough </w:t>
      </w:r>
      <w:r w:rsidRPr="00504F88">
        <w:rPr>
          <w:szCs w:val="24"/>
        </w:rPr>
        <w:fldChar w:fldCharType="begin" w:fldLock="1"/>
      </w:r>
      <w:r w:rsidRPr="00504F88">
        <w:rPr>
          <w:szCs w:val="24"/>
        </w:rPr>
        <w:instrText>ADDIN CSL_CITATION {"citationItems":[{"id":"ITEM-1","itemData":{"author":[{"dropping-particle":"","family":"Simanjuntak","given":"Megawati","non-dropping-particle":"","parse-names":false,"suffix":""},{"dropping-particle":"","family":"Nafila","given":"Nidya Luthfi","non-dropping-particle":"","parse-names":false,"suffix":""},{"dropping-particle":"","family":"Yuliati","given":"Lilik Noor","non-dropping-particle":"","parse-names":false,"suffix":""},{"dropping-particle":"","family":"Johan","given":"Irni Rahmayani","non-dropping-particle":"","parse-names":false,"suffix":""},{"dropping-particle":"","family":"Najib","given":"Mukhamad","non-dropping-particle":"","parse-names":false,"suffix":""},{"dropping-particle":"","family":"Sabri","given":"Mohamad Fazli","non-dropping-particle":"","parse-names":false,"suffix":""}],"id":"ITEM-1","issued":{"date-parts":[["2023"]]},"title":"Environmental Care Attitudes and Intention to Purchase Green Products : Impact of Environmental Knowledge , Word of Mouth , and Green Marketing","type":"article-journal"},"uris":["http://www.mendeley.com/documents/?uuid=62752de4-4735-45b2-bc2f-41e0cb77fa9e"]}],"mendeley":{"formattedCitation":"(Simanjuntak et al., 2023)","plainTextFormattedCitation":"(Simanjuntak et al., 2023)","previouslyFormattedCitation":"(Simanjuntak et al., 2023)"},"properties":{"noteIndex":0},"schema":"https://github.com/citation-style-language/schema/raw/master/csl-citation.json"}</w:instrText>
      </w:r>
      <w:r w:rsidRPr="00504F88">
        <w:rPr>
          <w:szCs w:val="24"/>
        </w:rPr>
        <w:fldChar w:fldCharType="separate"/>
      </w:r>
      <w:r w:rsidRPr="00504F88">
        <w:rPr>
          <w:noProof/>
          <w:szCs w:val="24"/>
        </w:rPr>
        <w:t>(Simanjuntak et al., 2023)</w:t>
      </w:r>
      <w:r w:rsidRPr="00504F88">
        <w:rPr>
          <w:szCs w:val="24"/>
        </w:rPr>
        <w:fldChar w:fldCharType="end"/>
      </w:r>
      <w:r w:rsidRPr="00504F88">
        <w:rPr>
          <w:szCs w:val="24"/>
        </w:rPr>
        <w:t>.  Pro-environmental behavior is behavior that grows from a person's awareness to minimize the negative impact of their actions on the sustainability of natural resources.</w:t>
      </w:r>
    </w:p>
    <w:p w14:paraId="1376100D" w14:textId="77777777" w:rsidR="003E6CCE" w:rsidRPr="00504F88" w:rsidRDefault="003E6CCE" w:rsidP="00504F88">
      <w:pPr>
        <w:ind w:firstLine="720"/>
        <w:jc w:val="both"/>
        <w:rPr>
          <w:szCs w:val="24"/>
        </w:rPr>
      </w:pPr>
      <w:r w:rsidRPr="00504F88">
        <w:rPr>
          <w:szCs w:val="24"/>
        </w:rPr>
        <w:t xml:space="preserve">The crucial aspect that is the focus of this study is ecological competence. This variable is defined as the capacity of students to conduct critical analysis and systemic evaluation of the complexity of environmental phenomena in an integrated manner based on test instruments developed by researchers, the ability to integrate the concept of water pressure physics with geological risks in dam construction </w:t>
      </w:r>
      <w:r w:rsidRPr="00504F88">
        <w:rPr>
          <w:szCs w:val="24"/>
        </w:rPr>
        <w:fldChar w:fldCharType="begin" w:fldLock="1"/>
      </w:r>
      <w:r w:rsidRPr="00504F88">
        <w:rPr>
          <w:szCs w:val="24"/>
        </w:rPr>
        <w:instrText>ADDIN CSL_CITATION {"citationItems":[{"id":"ITEM-1","itemData":{"author":[{"dropping-particle":"","family":"Ardiansyah","given":"Rahaman Hakim","non-dropping-particle":"","parse-names":false,"suffix":""},{"dropping-particle":"","family":"Khurtumi","given":"Nofyar Dwi","non-dropping-particle":"","parse-names":false,"suffix":""}],"id":"ITEM-1","issue":"2","issued":{"date-parts":[["2022"]]},"title":"PERILAKU TEKANAN AIR PORI PADA BENDUNGAN BAJULMATI MULAI PENGISIAN HINGGA TAHUN 2020","type":"article-journal","volume":"9"},"uris":["http://www.mendeley.com/documents/?uuid=79fae3ad-8145-4466-b26e-8331e32b02dd"]}],"mendeley":{"formattedCitation":"(Ardiansyah &amp; Khurtumi, 2022)","plainTextFormattedCitation":"(Ardiansyah &amp; Khurtumi, 2022)","previouslyFormattedCitation":"(Ardiansyah &amp; Khurtumi, 2022)"},"properties":{"noteIndex":0},"schema":"https://github.com/citation-style-language/schema/raw/master/csl-citation.json"}</w:instrText>
      </w:r>
      <w:r w:rsidRPr="00504F88">
        <w:rPr>
          <w:szCs w:val="24"/>
        </w:rPr>
        <w:fldChar w:fldCharType="separate"/>
      </w:r>
      <w:r w:rsidRPr="00504F88">
        <w:rPr>
          <w:noProof/>
          <w:szCs w:val="24"/>
        </w:rPr>
        <w:t>(Ardiansyah &amp; Khurtumi, 2022)</w:t>
      </w:r>
      <w:r w:rsidRPr="00504F88">
        <w:rPr>
          <w:szCs w:val="24"/>
        </w:rPr>
        <w:fldChar w:fldCharType="end"/>
      </w:r>
      <w:r w:rsidRPr="00504F88">
        <w:rPr>
          <w:szCs w:val="24"/>
        </w:rPr>
        <w:t xml:space="preserve">, or the chemical process of photosynthesis with carbon emission management. Given the knowledge-action gap and misconceptions in preliminary studies, statistical analysis capable of modeling complex relationships is required </w:t>
      </w:r>
      <w:r w:rsidRPr="00504F88">
        <w:rPr>
          <w:szCs w:val="24"/>
        </w:rPr>
        <w:fldChar w:fldCharType="begin" w:fldLock="1"/>
      </w:r>
      <w:r w:rsidRPr="00504F88">
        <w:rPr>
          <w:szCs w:val="24"/>
        </w:rPr>
        <w:instrText>ADDIN CSL_CITATION {"citationItems":[{"id":"ITEM-1","itemData":{"DOI":"10.32877/ef.v7i2.2331","author":[{"dropping-particle":"","family":"Shobah","given":"Ach Nuris","non-dropping-particle":"","parse-names":false,"suffix":""}],"id":"ITEM-1","issue":"2","issued":{"date-parts":[["2025"]]},"title":"Pengaruh Kesadaran Pengetahuan Lingkungan , dan Inovasi Berkelanjutan terhadap Partisipasi Masyarakat dalam Mendorong Pertumbuhan Green Economy di Kabupaten Sumenep","type":"article-journal","volume":"7"},"uris":["http://www.mendeley.com/documents/?uuid=f6f2a497-3543-427a-ae87-bd3cf2c67f9d"]}],"mendeley":{"formattedCitation":"(Shobah, 2025)","plainTextFormattedCitation":"(Shobah, 2025)","previouslyFormattedCitation":"(Shobah, 2025)"},"properties":{"noteIndex":0},"schema":"https://github.com/citation-style-language/schema/raw/master/csl-citation.json"}</w:instrText>
      </w:r>
      <w:r w:rsidRPr="00504F88">
        <w:rPr>
          <w:szCs w:val="24"/>
        </w:rPr>
        <w:fldChar w:fldCharType="separate"/>
      </w:r>
      <w:r w:rsidRPr="00504F88">
        <w:rPr>
          <w:noProof/>
          <w:szCs w:val="24"/>
        </w:rPr>
        <w:t>(Shobah, 2025)</w:t>
      </w:r>
      <w:r w:rsidRPr="00504F88">
        <w:rPr>
          <w:szCs w:val="24"/>
        </w:rPr>
        <w:fldChar w:fldCharType="end"/>
      </w:r>
      <w:r w:rsidRPr="00504F88">
        <w:rPr>
          <w:szCs w:val="24"/>
        </w:rPr>
        <w:t xml:space="preserve">. </w:t>
      </w:r>
    </w:p>
    <w:p w14:paraId="4DB0DE62" w14:textId="7D6A23D8" w:rsidR="00580137" w:rsidRDefault="00580137" w:rsidP="00504F88">
      <w:pPr>
        <w:ind w:firstLine="720"/>
        <w:jc w:val="both"/>
        <w:rPr>
          <w:szCs w:val="24"/>
        </w:rPr>
      </w:pPr>
      <w:r w:rsidRPr="00580137">
        <w:rPr>
          <w:szCs w:val="24"/>
        </w:rPr>
        <w:t>Therefore, educational transformation is not merely about adding material, but rather repositioning the role of students from consumers of information to agents of change who are capable of designing innovative solutions to environmental crises. Through an integrated understanding of science, technology, and ethics, it is hoped that pro-environmental behavior will be formed not because of curriculum coercion, but as a result of deep critical reasoning about future sustainability.</w:t>
      </w:r>
    </w:p>
    <w:p w14:paraId="33527094" w14:textId="26600BC9" w:rsidR="003E6CCE" w:rsidRPr="00504F88" w:rsidRDefault="003E6CCE" w:rsidP="00504F88">
      <w:pPr>
        <w:ind w:firstLine="720"/>
        <w:jc w:val="both"/>
        <w:rPr>
          <w:szCs w:val="24"/>
        </w:rPr>
      </w:pPr>
      <w:r w:rsidRPr="00504F88">
        <w:rPr>
          <w:szCs w:val="24"/>
        </w:rPr>
        <w:t xml:space="preserve">Compared to the research by </w:t>
      </w:r>
      <w:r w:rsidRPr="00504F88">
        <w:rPr>
          <w:szCs w:val="24"/>
        </w:rPr>
        <w:fldChar w:fldCharType="begin" w:fldLock="1"/>
      </w:r>
      <w:r w:rsidRPr="00504F88">
        <w:rPr>
          <w:szCs w:val="24"/>
        </w:rPr>
        <w:instrText>ADDIN CSL_CITATION {"citationItems":[{"id":"ITEM-1","itemData":{"author":[{"dropping-particle":"","family":"Aprilianti","given":"Atilla Nur Melania","non-dropping-particle":"","parse-names":false,"suffix":""}],"id":"ITEM-1","issue":"1","issued":{"date-parts":[["2023"]]},"page":"46-62","title":"PENGARUH IMPLEMENTASI PROGRAM ADIWIYATA TERHADAP LITERASI LINGKUNGAN PESERTA DIDIK SMA NEGERI 10 YOGYAKARTA","type":"article-journal","volume":"9"},"uris":["http://www.mendeley.com/documents/?uuid=56027fc6-65d0-40ce-be89-85ae685a5770"]}],"mendeley":{"formattedCitation":"(Aprilianti, 2023)","plainTextFormattedCitation":"(Aprilianti, 2023)","previouslyFormattedCitation":"(Aprilianti, 2023)"},"properties":{"noteIndex":0},"schema":"https://github.com/citation-style-language/schema/raw/master/csl-citation.json"}</w:instrText>
      </w:r>
      <w:r w:rsidRPr="00504F88">
        <w:rPr>
          <w:szCs w:val="24"/>
        </w:rPr>
        <w:fldChar w:fldCharType="separate"/>
      </w:r>
      <w:r w:rsidRPr="00504F88">
        <w:rPr>
          <w:noProof/>
          <w:szCs w:val="24"/>
        </w:rPr>
        <w:t>(Aprilianti, 2023)</w:t>
      </w:r>
      <w:r w:rsidRPr="00504F88">
        <w:rPr>
          <w:szCs w:val="24"/>
        </w:rPr>
        <w:fldChar w:fldCharType="end"/>
      </w:r>
      <w:r w:rsidRPr="00504F88">
        <w:rPr>
          <w:szCs w:val="24"/>
        </w:rPr>
        <w:t xml:space="preserve"> entitled “The Effect of the Implementation of the </w:t>
      </w:r>
      <w:proofErr w:type="spellStart"/>
      <w:r w:rsidRPr="00504F88">
        <w:rPr>
          <w:szCs w:val="24"/>
        </w:rPr>
        <w:t>Adiwiyata</w:t>
      </w:r>
      <w:proofErr w:type="spellEnd"/>
      <w:r w:rsidRPr="00504F88">
        <w:rPr>
          <w:szCs w:val="24"/>
        </w:rPr>
        <w:t xml:space="preserve"> Program on the Environmental Literacy of Students at State Senior High School 10 Yogyakarta” which used descriptive analysis, a more complex analysis is needed. Therefore, the author conducted research to fill this gap by using the PLS-SEM approach to model the simultaneous influence of conceptual understanding on students' ecological abilities and behavior. This provides a more in-depth empirical contribution to the effectiveness of Education for Sustainable Development at the senior high school level.</w:t>
      </w:r>
    </w:p>
    <w:p w14:paraId="7E0C3542" w14:textId="77777777" w:rsidR="003E6CCE" w:rsidRPr="00504F88" w:rsidRDefault="003E6CCE" w:rsidP="00504F88">
      <w:pPr>
        <w:pBdr>
          <w:top w:val="nil"/>
          <w:left w:val="nil"/>
          <w:bottom w:val="nil"/>
          <w:right w:val="nil"/>
          <w:between w:val="nil"/>
        </w:pBdr>
        <w:spacing w:after="240"/>
        <w:ind w:firstLine="0"/>
        <w:jc w:val="both"/>
        <w:rPr>
          <w:rFonts w:cs="Garamond"/>
          <w:color w:val="000000"/>
          <w:szCs w:val="24"/>
        </w:rPr>
      </w:pPr>
    </w:p>
    <w:p w14:paraId="00000013" w14:textId="77777777" w:rsidR="00554F16" w:rsidRDefault="007E12B9">
      <w:pPr>
        <w:keepNext/>
        <w:pBdr>
          <w:top w:val="nil"/>
          <w:left w:val="nil"/>
          <w:bottom w:val="nil"/>
          <w:right w:val="nil"/>
          <w:between w:val="nil"/>
        </w:pBdr>
        <w:spacing w:after="120"/>
        <w:ind w:firstLine="0"/>
        <w:rPr>
          <w:rFonts w:cs="Garamond"/>
          <w:b/>
          <w:smallCaps/>
          <w:color w:val="000000"/>
          <w:szCs w:val="24"/>
        </w:rPr>
      </w:pPr>
      <w:r>
        <w:rPr>
          <w:rFonts w:cs="Garamond"/>
          <w:b/>
          <w:smallCaps/>
          <w:color w:val="000000"/>
          <w:szCs w:val="24"/>
        </w:rPr>
        <w:t>METHODOLOGY</w:t>
      </w:r>
    </w:p>
    <w:p w14:paraId="73D01965" w14:textId="72DCDF57" w:rsidR="00504F88" w:rsidRPr="00504F88" w:rsidRDefault="00504F88" w:rsidP="00504F88">
      <w:pPr>
        <w:ind w:firstLine="720"/>
        <w:jc w:val="both"/>
        <w:rPr>
          <w:b/>
          <w:szCs w:val="24"/>
        </w:rPr>
      </w:pPr>
      <w:r w:rsidRPr="00504F88">
        <w:rPr>
          <w:bCs/>
          <w:szCs w:val="24"/>
        </w:rPr>
        <w:t xml:space="preserve">The method used in this study is quantitative research with a causal associative design. According to </w:t>
      </w:r>
      <w:proofErr w:type="spellStart"/>
      <w:r w:rsidRPr="00504F88">
        <w:rPr>
          <w:bCs/>
          <w:szCs w:val="24"/>
        </w:rPr>
        <w:t>Sugiyono</w:t>
      </w:r>
      <w:proofErr w:type="spellEnd"/>
      <w:r w:rsidRPr="00504F88">
        <w:rPr>
          <w:bCs/>
          <w:szCs w:val="24"/>
        </w:rPr>
        <w:t xml:space="preserve">, associative research is a research problem formulation that asks about the relationship between two or more variables. The method used in this study is the survey method, where the author distributed questionnaires for data collection </w:t>
      </w:r>
      <w:r w:rsidRPr="00504F88">
        <w:rPr>
          <w:bCs/>
          <w:szCs w:val="24"/>
        </w:rPr>
        <w:fldChar w:fldCharType="begin" w:fldLock="1"/>
      </w:r>
      <w:r w:rsidRPr="00504F88">
        <w:rPr>
          <w:bCs/>
          <w:szCs w:val="24"/>
        </w:rPr>
        <w:instrText>ADDIN CSL_CITATION {"citationItems":[{"id":"ITEM-1","itemData":{"ISBN":"9786020673707","author":[{"dropping-particle":"","family":"Siagian","given":"P D A","non-dropping-particle":"","parse-names":false,"suffix":""}],"id":"ITEM-1","issued":{"date-parts":[["2024"]]},"publisher":"Gramedia Pustaka Utama","title":"MEMAHAMI PENELITIAN TANPA ANGKA: Kumpulan Tulisan untuk Penelitian yang Lebih Baik","type":"book"},"uris":["http://www.mendeley.com/documents/?uuid=1894a48c-199f-443f-aace-7a4b49613d50"]}],"mendeley":{"formattedCitation":"(Siagian, 2024)","plainTextFormattedCitation":"(Siagian, 2024)","previouslyFormattedCitation":"(Siagian, 2024)"},"properties":{"noteIndex":0},"schema":"https://github.com/citation-style-language/schema/raw/master/csl-citation.json"}</w:instrText>
      </w:r>
      <w:r w:rsidRPr="00504F88">
        <w:rPr>
          <w:bCs/>
          <w:szCs w:val="24"/>
        </w:rPr>
        <w:fldChar w:fldCharType="separate"/>
      </w:r>
      <w:r w:rsidRPr="00504F88">
        <w:rPr>
          <w:bCs/>
          <w:noProof/>
          <w:szCs w:val="24"/>
        </w:rPr>
        <w:t>(Siagian, 2024)</w:t>
      </w:r>
      <w:r w:rsidRPr="00504F88">
        <w:rPr>
          <w:bCs/>
          <w:szCs w:val="24"/>
        </w:rPr>
        <w:fldChar w:fldCharType="end"/>
      </w:r>
      <w:r w:rsidRPr="00504F88">
        <w:rPr>
          <w:bCs/>
          <w:szCs w:val="24"/>
        </w:rPr>
        <w:t xml:space="preserve">. This method was chosen to empirically test and prove whether there is a significant effect of the independent variable on the dependent variable. The research sample was determined using saturated sampling to obtain maximum accuracy and full representation of the group being studied. The research population was all 11th grade students at MA Al-Islam </w:t>
      </w:r>
      <w:proofErr w:type="spellStart"/>
      <w:r w:rsidRPr="00504F88">
        <w:rPr>
          <w:bCs/>
          <w:szCs w:val="24"/>
        </w:rPr>
        <w:t>Joresan</w:t>
      </w:r>
      <w:proofErr w:type="spellEnd"/>
      <w:r w:rsidRPr="00504F88">
        <w:rPr>
          <w:bCs/>
          <w:szCs w:val="24"/>
        </w:rPr>
        <w:t>. From this population, class XI A was selected as the research sample with a sample size of 23 students. This sample was selected based on specific considerations, such as time, access, and students. Characteristics relevant to the research needs, such as age, level of understanding, and initial abilities, were considered relevant. By selecting this class, the researchers hoped to minimize the possibility of bias and increase the validity of the research results.</w:t>
      </w:r>
      <w:r w:rsidRPr="00504F88">
        <w:rPr>
          <w:bCs/>
          <w:szCs w:val="24"/>
        </w:rPr>
        <w:tab/>
      </w:r>
    </w:p>
    <w:p w14:paraId="116B3F17" w14:textId="4E9FD9A1" w:rsidR="00504F88" w:rsidRPr="00504F88" w:rsidRDefault="00504F88" w:rsidP="00504F88">
      <w:pPr>
        <w:jc w:val="both"/>
        <w:rPr>
          <w:bCs/>
          <w:szCs w:val="24"/>
        </w:rPr>
      </w:pPr>
      <w:r w:rsidRPr="00504F88">
        <w:rPr>
          <w:bCs/>
          <w:szCs w:val="24"/>
        </w:rPr>
        <w:tab/>
        <w:t>The study measured systemic concept understanding, pro-environmental behavior, and ecological competence. The study was conducted by giving test questions to students in the first stage, followed by a questionnaire in the second stage, which was completed by the sample with the highest scores on the previous test. The first stage consisted of a test comprising 9 multiple-choice questions, 9 multiple-choice questions with dilemma cases, and 3 integrative essay questions. The questions were based on decision-making indicators: integrated and multidisciplinary cognition, multidisciplinary understanding, and absence of misunderstanding. The second stage consisted of a questionnaire using a 5-point Likert scale with the following scores: score 5 = Strongly Agree (S</w:t>
      </w:r>
      <w:r w:rsidR="00C72EB8">
        <w:rPr>
          <w:bCs/>
          <w:szCs w:val="24"/>
        </w:rPr>
        <w:t>A</w:t>
      </w:r>
      <w:r w:rsidRPr="00504F88">
        <w:rPr>
          <w:bCs/>
          <w:szCs w:val="24"/>
        </w:rPr>
        <w:t>), score 4 = Agree (S), score 3 = Neutral (N), score 2 = Disagree (</w:t>
      </w:r>
      <w:r w:rsidR="00C72EB8">
        <w:rPr>
          <w:bCs/>
          <w:szCs w:val="24"/>
        </w:rPr>
        <w:t>D</w:t>
      </w:r>
      <w:r w:rsidRPr="00504F88">
        <w:rPr>
          <w:bCs/>
          <w:szCs w:val="24"/>
        </w:rPr>
        <w:t>), and score 1 = Strongly Disagree (S</w:t>
      </w:r>
      <w:r w:rsidR="00C72EB8">
        <w:rPr>
          <w:bCs/>
          <w:szCs w:val="24"/>
        </w:rPr>
        <w:t>D</w:t>
      </w:r>
      <w:r w:rsidRPr="00504F88">
        <w:rPr>
          <w:bCs/>
          <w:szCs w:val="24"/>
        </w:rPr>
        <w:t>). The questionnaire was based on the research variables: sustainable development (X) consisted of 3 questionnaires, pro-environmental behavior (Y</w:t>
      </w:r>
      <w:r w:rsidRPr="00504F88">
        <w:rPr>
          <w:bCs/>
          <w:szCs w:val="24"/>
          <w:vertAlign w:val="subscript"/>
        </w:rPr>
        <w:t>1</w:t>
      </w:r>
      <w:r w:rsidRPr="00504F88">
        <w:rPr>
          <w:bCs/>
          <w:szCs w:val="24"/>
        </w:rPr>
        <w:t>) consisted of 4 questionnaires, and ecological competence (Y</w:t>
      </w:r>
      <w:r w:rsidRPr="00504F88">
        <w:rPr>
          <w:bCs/>
          <w:szCs w:val="24"/>
          <w:vertAlign w:val="subscript"/>
        </w:rPr>
        <w:t>2</w:t>
      </w:r>
      <w:r w:rsidRPr="00504F88">
        <w:rPr>
          <w:bCs/>
          <w:szCs w:val="24"/>
        </w:rPr>
        <w:t>) consisted of 4 questionnaires.</w:t>
      </w:r>
    </w:p>
    <w:p w14:paraId="5A601186" w14:textId="77777777" w:rsidR="00504F88" w:rsidRPr="00504F88" w:rsidRDefault="00504F88" w:rsidP="00504F88">
      <w:pPr>
        <w:ind w:firstLine="720"/>
        <w:jc w:val="both"/>
        <w:rPr>
          <w:bCs/>
          <w:szCs w:val="24"/>
        </w:rPr>
      </w:pPr>
      <w:r w:rsidRPr="00504F88">
        <w:rPr>
          <w:bCs/>
          <w:szCs w:val="24"/>
        </w:rPr>
        <w:t xml:space="preserve">Data analysis was conducted in two stages. The first stage was descriptive analysis of the integrative test instrument to map low scores (range 36-40). The second stage was inferential analysis using the Partial Least Square - Structural Equation Modeling (PLS-SEM) approach with the help of </w:t>
      </w:r>
      <w:proofErr w:type="spellStart"/>
      <w:r w:rsidRPr="00504F88">
        <w:rPr>
          <w:bCs/>
          <w:szCs w:val="24"/>
        </w:rPr>
        <w:t>SmartPLS</w:t>
      </w:r>
      <w:proofErr w:type="spellEnd"/>
      <w:r w:rsidRPr="00504F88">
        <w:rPr>
          <w:bCs/>
          <w:szCs w:val="24"/>
        </w:rPr>
        <w:t xml:space="preserve"> software. </w:t>
      </w:r>
      <w:r w:rsidRPr="00504F88">
        <w:rPr>
          <w:bCs/>
          <w:szCs w:val="24"/>
        </w:rPr>
        <w:fldChar w:fldCharType="begin" w:fldLock="1"/>
      </w:r>
      <w:r w:rsidRPr="00504F88">
        <w:rPr>
          <w:bCs/>
          <w:szCs w:val="24"/>
        </w:rPr>
        <w:instrText>ADDIN CSL_CITATION {"citationItems":[{"id":"ITEM-1","itemData":{"ISBN":"9781483377445","author":[{"dropping-particle":"","family":"Hair","given":"Joseph F","non-dropping-particle":"","parse-names":false,"suffix":""},{"dropping-particle":"","family":"Hult","given":"G Tomas M","non-dropping-particle":"","parse-names":false,"suffix":""},{"dropping-particle":"","family":"Ringle","given":"Christian M","non-dropping-particle":"","parse-names":false,"suffix":""}],"id":"ITEM-1","issued":{"date-parts":[["2022"]]},"title":"A Primer on Partial Least Squares Structural Equation Modeling ( PLS-SEM )","type":"book"},"uris":["http://www.mendeley.com/documents/?uuid=cfa49b5d-600d-40b9-8e82-09d4061cc271"]}],"mendeley":{"formattedCitation":"(Hair et al., 2022)","plainTextFormattedCitation":"(Hair et al., 2022)","previouslyFormattedCitation":"(Hair et al., 2022)"},"properties":{"noteIndex":0},"schema":"https://github.com/citation-style-language/schema/raw/master/csl-citation.json"}</w:instrText>
      </w:r>
      <w:r w:rsidRPr="00504F88">
        <w:rPr>
          <w:bCs/>
          <w:szCs w:val="24"/>
        </w:rPr>
        <w:fldChar w:fldCharType="separate"/>
      </w:r>
      <w:r w:rsidRPr="00504F88">
        <w:rPr>
          <w:bCs/>
          <w:noProof/>
          <w:szCs w:val="24"/>
        </w:rPr>
        <w:t>(Hair et al., 2022)</w:t>
      </w:r>
      <w:r w:rsidRPr="00504F88">
        <w:rPr>
          <w:bCs/>
          <w:szCs w:val="24"/>
        </w:rPr>
        <w:fldChar w:fldCharType="end"/>
      </w:r>
      <w:r w:rsidRPr="00504F88">
        <w:rPr>
          <w:bCs/>
          <w:szCs w:val="24"/>
        </w:rPr>
        <w:t xml:space="preserve"> stated that the data analysis method using PLS-SEM has high statistical power and remains stable even when used on limited sample sizes, especially causal relationships in small populations. The Partial Least Squares Structural Equation Modeling (PLS-SEM) method was chosen because it is capable of handling complex structural models and is flexible in terms of data assumptions </w:t>
      </w:r>
      <w:r w:rsidRPr="00504F88">
        <w:rPr>
          <w:bCs/>
          <w:szCs w:val="24"/>
        </w:rPr>
        <w:fldChar w:fldCharType="begin" w:fldLock="1"/>
      </w:r>
      <w:r w:rsidRPr="00504F88">
        <w:rPr>
          <w:bCs/>
          <w:szCs w:val="24"/>
        </w:rPr>
        <w:instrText>ADDIN CSL_CITATION {"citationItems":[{"id":"ITEM-1","itemData":{"DOI":"10.1371/journal.pone.0297037","ISBN":"1111111111","author":[{"dropping-particle":"","family":"Babatunde","given":"Lateef","non-dropping-particle":"","parse-names":false,"suffix":""},{"dropping-particle":"","family":"Id","given":"Amusa","non-dropping-particle":"","parse-names":false,"suffix":""},{"dropping-particle":"","family":"Hossana","given":"Twinomurinzi","non-dropping-particle":"","parse-names":false,"suffix":""}],"id":"ITEM-1","issued":{"date-parts":[["2024"]]},"page":"1-14","title":"An empirical comparison of some missing data treatments in PLS-SEM","type":"article-journal"},"uris":["http://www.mendeley.com/documents/?uuid=de38c8d5-858a-47ad-a290-a512f3a2f8bf"]}],"mendeley":{"formattedCitation":"(Babatunde et al., 2024)","plainTextFormattedCitation":"(Babatunde et al., 2024)","previouslyFormattedCitation":"(Babatunde et al., 2024)"},"properties":{"noteIndex":0},"schema":"https://github.com/citation-style-language/schema/raw/master/csl-citation.json"}</w:instrText>
      </w:r>
      <w:r w:rsidRPr="00504F88">
        <w:rPr>
          <w:bCs/>
          <w:szCs w:val="24"/>
        </w:rPr>
        <w:fldChar w:fldCharType="separate"/>
      </w:r>
      <w:r w:rsidRPr="00504F88">
        <w:rPr>
          <w:bCs/>
          <w:noProof/>
          <w:szCs w:val="24"/>
        </w:rPr>
        <w:t>(Babatunde et al., 2024)</w:t>
      </w:r>
      <w:r w:rsidRPr="00504F88">
        <w:rPr>
          <w:bCs/>
          <w:szCs w:val="24"/>
        </w:rPr>
        <w:fldChar w:fldCharType="end"/>
      </w:r>
      <w:r w:rsidRPr="00504F88">
        <w:rPr>
          <w:bCs/>
          <w:szCs w:val="24"/>
        </w:rPr>
        <w:t>.</w:t>
      </w:r>
      <w:r w:rsidRPr="00504F88">
        <w:rPr>
          <w:bCs/>
          <w:szCs w:val="24"/>
        </w:rPr>
        <w:tab/>
      </w:r>
    </w:p>
    <w:p w14:paraId="328D160D" w14:textId="77777777" w:rsidR="00504F88" w:rsidRPr="00504F88" w:rsidRDefault="00504F88" w:rsidP="00504F88">
      <w:pPr>
        <w:ind w:firstLine="720"/>
        <w:jc w:val="both"/>
        <w:rPr>
          <w:bCs/>
          <w:szCs w:val="24"/>
        </w:rPr>
      </w:pPr>
      <w:r w:rsidRPr="00504F88">
        <w:rPr>
          <w:bCs/>
          <w:szCs w:val="24"/>
        </w:rPr>
        <w:t>The PLS-SEM analysis procedure was conducted through two main evaluation steps. First, an evaluation of the Measurement Model (Outer Model) is conducted to test the validity and reliability of the Likert scale questionnaire instrument, which includes convergent validity testing (factor loading and AVE values), discriminant validity, and composite reliability. Second, an evaluation of the Structural Model (Inner Model) is conducted to test the research hypothesis through the bootstrapping procedure. This analysis aims to measure the strength of the influence of independent variables on dependent variables through path coefficient values, significance levels (P-values), and R</w:t>
      </w:r>
      <w:r w:rsidRPr="00504F88">
        <w:rPr>
          <w:bCs/>
          <w:szCs w:val="24"/>
          <w:vertAlign w:val="superscript"/>
        </w:rPr>
        <w:t>2</w:t>
      </w:r>
      <w:r w:rsidRPr="00504F88">
        <w:rPr>
          <w:bCs/>
          <w:szCs w:val="24"/>
        </w:rPr>
        <w:t xml:space="preserve"> (R-square) values to see the contribution of Understanding the Concept of Sustainable Development (X) to Pro-Environmental Behavior (Y</w:t>
      </w:r>
      <w:r w:rsidRPr="00504F88">
        <w:rPr>
          <w:bCs/>
          <w:szCs w:val="24"/>
          <w:vertAlign w:val="superscript"/>
        </w:rPr>
        <w:t>1</w:t>
      </w:r>
      <w:r w:rsidRPr="00504F88">
        <w:rPr>
          <w:bCs/>
          <w:szCs w:val="24"/>
        </w:rPr>
        <w:t>) and Ecological Competence (Y</w:t>
      </w:r>
      <w:r w:rsidRPr="00504F88">
        <w:rPr>
          <w:bCs/>
          <w:szCs w:val="24"/>
          <w:vertAlign w:val="superscript"/>
        </w:rPr>
        <w:t>2</w:t>
      </w:r>
      <w:r w:rsidRPr="00504F88">
        <w:rPr>
          <w:bCs/>
          <w:szCs w:val="24"/>
        </w:rPr>
        <w:t>) of students.</w:t>
      </w:r>
    </w:p>
    <w:p w14:paraId="6AA8A643" w14:textId="6993B86D" w:rsidR="00504F88" w:rsidRPr="00504F88" w:rsidRDefault="00504F88" w:rsidP="00504F88">
      <w:pPr>
        <w:pBdr>
          <w:top w:val="nil"/>
          <w:left w:val="nil"/>
          <w:bottom w:val="nil"/>
          <w:right w:val="nil"/>
          <w:between w:val="nil"/>
        </w:pBdr>
        <w:spacing w:after="240"/>
        <w:ind w:firstLine="0"/>
        <w:jc w:val="both"/>
        <w:rPr>
          <w:rFonts w:cs="Garamond"/>
          <w:color w:val="000000"/>
          <w:szCs w:val="24"/>
        </w:rPr>
      </w:pPr>
    </w:p>
    <w:p w14:paraId="00000015" w14:textId="77777777" w:rsidR="00554F16" w:rsidRDefault="007E12B9">
      <w:pPr>
        <w:pStyle w:val="Heading1"/>
        <w:spacing w:before="0"/>
      </w:pPr>
      <w:r>
        <w:t>RESULT AND DISCUSSION</w:t>
      </w:r>
    </w:p>
    <w:p w14:paraId="44936C64" w14:textId="2B1BEA83" w:rsidR="00504F88" w:rsidRDefault="00504F88" w:rsidP="00504F88">
      <w:pPr>
        <w:ind w:firstLine="720"/>
        <w:jc w:val="both"/>
        <w:rPr>
          <w:bCs/>
          <w:szCs w:val="24"/>
        </w:rPr>
      </w:pPr>
      <w:r w:rsidRPr="00504F88">
        <w:rPr>
          <w:bCs/>
          <w:szCs w:val="24"/>
        </w:rPr>
        <w:t>Based on the results of the first study involving 23 respondents, Figure 1 shows significant variation in scores. The mapping results found that 3 respondents had very low scores in the range of 36-49, and 20 respondents scored in the range of 69-100.</w:t>
      </w:r>
    </w:p>
    <w:p w14:paraId="69006CB8" w14:textId="77777777" w:rsidR="007A77A1" w:rsidRPr="00504F88" w:rsidRDefault="007A77A1" w:rsidP="00504F88">
      <w:pPr>
        <w:ind w:firstLine="720"/>
        <w:jc w:val="both"/>
        <w:rPr>
          <w:bCs/>
          <w:szCs w:val="24"/>
        </w:rPr>
      </w:pPr>
    </w:p>
    <w:p w14:paraId="66B20427" w14:textId="77777777" w:rsidR="00504F88" w:rsidRPr="00504F88" w:rsidRDefault="00504F88" w:rsidP="00504F88">
      <w:pPr>
        <w:jc w:val="center"/>
        <w:rPr>
          <w:bCs/>
          <w:sz w:val="20"/>
          <w:szCs w:val="20"/>
        </w:rPr>
      </w:pPr>
      <w:r w:rsidRPr="00504F88">
        <w:rPr>
          <w:b/>
          <w:sz w:val="20"/>
          <w:szCs w:val="20"/>
        </w:rPr>
        <w:t>Graph 1:</w:t>
      </w:r>
      <w:r w:rsidRPr="00504F88">
        <w:rPr>
          <w:bCs/>
          <w:sz w:val="20"/>
          <w:szCs w:val="20"/>
        </w:rPr>
        <w:t xml:space="preserve"> Preliminary Data</w:t>
      </w:r>
    </w:p>
    <w:p w14:paraId="5656457A" w14:textId="5057B379" w:rsidR="00504F88" w:rsidRDefault="00504F88" w:rsidP="00504F88">
      <w:pPr>
        <w:jc w:val="center"/>
        <w:rPr>
          <w:b/>
          <w:szCs w:val="24"/>
        </w:rPr>
      </w:pPr>
      <w:r w:rsidRPr="00504F88">
        <w:rPr>
          <w:noProof/>
        </w:rPr>
        <mc:AlternateContent>
          <mc:Choice Requires="cx1">
            <w:drawing>
              <wp:inline distT="0" distB="0" distL="0" distR="0" wp14:anchorId="054EB64D" wp14:editId="37B44CEA">
                <wp:extent cx="2981050" cy="1791801"/>
                <wp:effectExtent l="0" t="0" r="10160" b="18415"/>
                <wp:docPr id="1" name="Chart 1">
                  <a:extLst xmlns:a="http://schemas.openxmlformats.org/drawingml/2006/main">
                    <a:ext uri="{FF2B5EF4-FFF2-40B4-BE49-F238E27FC236}">
                      <a16:creationId xmlns:a16="http://schemas.microsoft.com/office/drawing/2014/main" id="{CCCFD096-44AC-442F-8454-6C0D9E49B4F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054EB64D" wp14:editId="37B44CEA">
                <wp:extent cx="2981050" cy="1791801"/>
                <wp:effectExtent l="0" t="0" r="10160" b="18415"/>
                <wp:docPr id="1" name="Chart 1">
                  <a:extLst xmlns:a="http://schemas.openxmlformats.org/drawingml/2006/main">
                    <a:ext uri="{FF2B5EF4-FFF2-40B4-BE49-F238E27FC236}">
                      <a16:creationId xmlns:a16="http://schemas.microsoft.com/office/drawing/2014/main" id="{CCCFD096-44AC-442F-8454-6C0D9E49B4F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CCCFD096-44AC-442F-8454-6C0D9E49B4F2}"/>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2980690" cy="1791335"/>
                        </a:xfrm>
                        <a:prstGeom prst="rect">
                          <a:avLst/>
                        </a:prstGeom>
                      </pic:spPr>
                    </pic:pic>
                  </a:graphicData>
                </a:graphic>
              </wp:inline>
            </w:drawing>
          </mc:Fallback>
        </mc:AlternateContent>
      </w:r>
    </w:p>
    <w:p w14:paraId="4F8D009F" w14:textId="77777777" w:rsidR="007A77A1" w:rsidRPr="00504F88" w:rsidRDefault="007A77A1" w:rsidP="00504F88">
      <w:pPr>
        <w:jc w:val="center"/>
        <w:rPr>
          <w:b/>
          <w:szCs w:val="24"/>
        </w:rPr>
      </w:pPr>
    </w:p>
    <w:p w14:paraId="46B43615" w14:textId="77777777" w:rsidR="00504F88" w:rsidRPr="00504F88" w:rsidRDefault="00504F88" w:rsidP="00504F88">
      <w:pPr>
        <w:jc w:val="both"/>
        <w:rPr>
          <w:bCs/>
          <w:szCs w:val="24"/>
        </w:rPr>
      </w:pPr>
      <w:r w:rsidRPr="00504F88">
        <w:rPr>
          <w:b/>
          <w:szCs w:val="24"/>
        </w:rPr>
        <w:tab/>
      </w:r>
      <w:r w:rsidRPr="00504F88">
        <w:rPr>
          <w:bCs/>
          <w:szCs w:val="24"/>
        </w:rPr>
        <w:t>To maintain data quality and model accuracy in Partial Least Squares Structural Equation Modeling (PLS-SEM) analysis, researchers conducted sample reduction. Of the initial 23 respondents, 3 respondents were excluded because they were categorized as outliers that could distort construct validity results. Therefore, in the second stage of the study, only 20 respondents who met the data consistency criteria were included. This step was taken to ensure that the relationships between the variables tested had a high level of precision in accordance with structural model analysis standards.</w:t>
      </w:r>
    </w:p>
    <w:p w14:paraId="7AD65C37" w14:textId="77777777" w:rsidR="007A77A1" w:rsidRDefault="00504F88" w:rsidP="00504F88">
      <w:pPr>
        <w:jc w:val="both"/>
        <w:rPr>
          <w:bCs/>
          <w:szCs w:val="24"/>
        </w:rPr>
      </w:pPr>
      <w:r w:rsidRPr="00504F88">
        <w:rPr>
          <w:b/>
          <w:szCs w:val="24"/>
        </w:rPr>
        <w:tab/>
      </w:r>
      <w:r w:rsidRPr="00504F88">
        <w:rPr>
          <w:bCs/>
          <w:szCs w:val="24"/>
        </w:rPr>
        <w:t>The next stage was a questionnaire on students' understanding of the concepts of development, sustainability, pro-environmental behavior, and ecological literacy. For this questionnaire, subjects were selected based on the highest scores from the previous test.</w:t>
      </w:r>
    </w:p>
    <w:p w14:paraId="3DA949BC" w14:textId="77777777" w:rsidR="007A77A1" w:rsidRDefault="007A77A1" w:rsidP="007A77A1">
      <w:pPr>
        <w:ind w:firstLine="0"/>
        <w:rPr>
          <w:bCs/>
          <w:szCs w:val="24"/>
        </w:rPr>
      </w:pPr>
    </w:p>
    <w:p w14:paraId="6BC94E17" w14:textId="77777777" w:rsidR="007A77A1" w:rsidRDefault="007A77A1" w:rsidP="007A77A1">
      <w:pPr>
        <w:ind w:firstLine="0"/>
        <w:rPr>
          <w:bCs/>
          <w:szCs w:val="24"/>
        </w:rPr>
      </w:pPr>
    </w:p>
    <w:p w14:paraId="522D6D63" w14:textId="77777777" w:rsidR="007A77A1" w:rsidRDefault="007A77A1" w:rsidP="007A77A1">
      <w:pPr>
        <w:ind w:firstLine="0"/>
        <w:rPr>
          <w:bCs/>
          <w:szCs w:val="24"/>
        </w:rPr>
      </w:pPr>
    </w:p>
    <w:p w14:paraId="71BF7F5C" w14:textId="77777777" w:rsidR="007A77A1" w:rsidRDefault="007A77A1" w:rsidP="007A77A1">
      <w:pPr>
        <w:ind w:firstLine="0"/>
        <w:rPr>
          <w:bCs/>
          <w:szCs w:val="24"/>
        </w:rPr>
      </w:pPr>
    </w:p>
    <w:p w14:paraId="5CFEFCE0" w14:textId="77777777" w:rsidR="007A77A1" w:rsidRDefault="007A77A1" w:rsidP="007A77A1">
      <w:pPr>
        <w:ind w:firstLine="0"/>
        <w:rPr>
          <w:bCs/>
          <w:szCs w:val="24"/>
        </w:rPr>
      </w:pPr>
    </w:p>
    <w:p w14:paraId="29F0C9AD" w14:textId="77777777" w:rsidR="007A77A1" w:rsidRDefault="007A77A1" w:rsidP="007A77A1">
      <w:pPr>
        <w:ind w:firstLine="0"/>
        <w:rPr>
          <w:bCs/>
          <w:szCs w:val="24"/>
        </w:rPr>
      </w:pPr>
    </w:p>
    <w:p w14:paraId="60C0EB61" w14:textId="77777777" w:rsidR="007A77A1" w:rsidRDefault="007A77A1" w:rsidP="007A77A1">
      <w:pPr>
        <w:ind w:firstLine="0"/>
        <w:rPr>
          <w:bCs/>
          <w:szCs w:val="24"/>
        </w:rPr>
      </w:pPr>
    </w:p>
    <w:p w14:paraId="3FF6DC11" w14:textId="77777777" w:rsidR="007A77A1" w:rsidRDefault="007A77A1" w:rsidP="007A77A1">
      <w:pPr>
        <w:ind w:firstLine="0"/>
        <w:rPr>
          <w:bCs/>
          <w:szCs w:val="24"/>
        </w:rPr>
      </w:pPr>
    </w:p>
    <w:p w14:paraId="52B54368" w14:textId="77777777" w:rsidR="007A77A1" w:rsidRDefault="007A77A1" w:rsidP="007A77A1">
      <w:pPr>
        <w:ind w:firstLine="0"/>
        <w:rPr>
          <w:bCs/>
          <w:szCs w:val="24"/>
        </w:rPr>
      </w:pPr>
    </w:p>
    <w:p w14:paraId="0A8B9887" w14:textId="2C54F7DA" w:rsidR="00504F88" w:rsidRPr="00504F88" w:rsidRDefault="00504F88" w:rsidP="007A77A1">
      <w:pPr>
        <w:ind w:firstLine="0"/>
        <w:rPr>
          <w:bCs/>
          <w:szCs w:val="24"/>
        </w:rPr>
      </w:pPr>
      <w:r w:rsidRPr="00504F88">
        <w:rPr>
          <w:bCs/>
          <w:szCs w:val="24"/>
        </w:rPr>
        <w:t xml:space="preserve"> </w:t>
      </w:r>
    </w:p>
    <w:p w14:paraId="28671ECE" w14:textId="77777777" w:rsidR="00504F88" w:rsidRPr="00504F88" w:rsidRDefault="00504F88" w:rsidP="00504F88">
      <w:pPr>
        <w:jc w:val="center"/>
        <w:rPr>
          <w:bCs/>
          <w:sz w:val="20"/>
          <w:szCs w:val="20"/>
        </w:rPr>
      </w:pPr>
      <w:r w:rsidRPr="00504F88">
        <w:rPr>
          <w:b/>
          <w:sz w:val="20"/>
          <w:szCs w:val="20"/>
        </w:rPr>
        <w:t>Graph 2:</w:t>
      </w:r>
      <w:r w:rsidRPr="00504F88">
        <w:rPr>
          <w:bCs/>
          <w:sz w:val="20"/>
          <w:szCs w:val="20"/>
        </w:rPr>
        <w:t xml:space="preserve"> Path Diagram</w:t>
      </w:r>
    </w:p>
    <w:p w14:paraId="17157B50" w14:textId="77777777" w:rsidR="00504F88" w:rsidRPr="00504F88" w:rsidRDefault="00504F88" w:rsidP="00504F88">
      <w:pPr>
        <w:jc w:val="center"/>
        <w:rPr>
          <w:bCs/>
          <w:szCs w:val="24"/>
        </w:rPr>
      </w:pPr>
      <w:r w:rsidRPr="00504F88">
        <w:rPr>
          <w:noProof/>
        </w:rPr>
        <w:drawing>
          <wp:inline distT="0" distB="0" distL="0" distR="0" wp14:anchorId="1AF7758A" wp14:editId="22650261">
            <wp:extent cx="3033905" cy="204971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302" cy="2059445"/>
                    </a:xfrm>
                    <a:prstGeom prst="rect">
                      <a:avLst/>
                    </a:prstGeom>
                    <a:noFill/>
                    <a:ln>
                      <a:noFill/>
                    </a:ln>
                  </pic:spPr>
                </pic:pic>
              </a:graphicData>
            </a:graphic>
          </wp:inline>
        </w:drawing>
      </w:r>
    </w:p>
    <w:p w14:paraId="3C89747E" w14:textId="0EE7C520" w:rsidR="00DE4ADB" w:rsidRPr="007A77A1" w:rsidRDefault="00504F88" w:rsidP="007A77A1">
      <w:pPr>
        <w:jc w:val="both"/>
        <w:rPr>
          <w:bCs/>
          <w:szCs w:val="24"/>
        </w:rPr>
      </w:pPr>
      <w:r w:rsidRPr="00504F88">
        <w:rPr>
          <w:bCs/>
          <w:szCs w:val="24"/>
        </w:rPr>
        <w:tab/>
        <w:t>Based on the highest value path diagram for the variable of students' ecological abilities, the strongest indicator is the integrated cognition indicator, which is 0.968. The lowest value for the variable of pro-environmental behavior and the weakest indicator is the pro-environmental behavior and action indicator, which is 0.755. The high scores on these indicators prove that students have not only achieved a level of theoretical understanding, but also have mature integrated cognition (the ability to explain water conservation/</w:t>
      </w:r>
      <w:proofErr w:type="spellStart"/>
      <w:r w:rsidRPr="00504F88">
        <w:rPr>
          <w:bCs/>
          <w:szCs w:val="24"/>
        </w:rPr>
        <w:t>biopori</w:t>
      </w:r>
      <w:proofErr w:type="spellEnd"/>
      <w:r w:rsidRPr="00504F88">
        <w:rPr>
          <w:bCs/>
          <w:szCs w:val="24"/>
        </w:rPr>
        <w:t xml:space="preserve"> techniques) in connecting interdisciplinary scientific concepts such as water infiltration physics and soil biology to produce real environmental solutions. The low score on this indicator indicates that energy-saving behaviors such as turning off lights or fans are less consistent compared to other pro-environmental actions, as they are often considered trivial. To increase pro-environmentalism, teachers need to strengthen learning directed at transformative and participatory innovation, such as the Environmental Ambassador group formation program. Through this program, students with the highest ecological ability scores can educate their friends about the importance of pro-environmental behavior using language that is more easily accepted.</w:t>
      </w:r>
    </w:p>
    <w:p w14:paraId="3A5C3771" w14:textId="77777777" w:rsidR="00DE4ADB" w:rsidRDefault="00DE4ADB" w:rsidP="00504F88">
      <w:pPr>
        <w:jc w:val="center"/>
        <w:rPr>
          <w:rFonts w:cstheme="majorBidi"/>
          <w:b/>
          <w:bCs/>
          <w:sz w:val="20"/>
          <w:szCs w:val="20"/>
        </w:rPr>
      </w:pPr>
    </w:p>
    <w:p w14:paraId="4D7FA6BE" w14:textId="77777777" w:rsidR="00DE4ADB" w:rsidRDefault="00DE4ADB" w:rsidP="00504F88">
      <w:pPr>
        <w:jc w:val="center"/>
        <w:rPr>
          <w:rFonts w:cstheme="majorBidi"/>
          <w:b/>
          <w:bCs/>
          <w:sz w:val="20"/>
          <w:szCs w:val="20"/>
        </w:rPr>
      </w:pPr>
    </w:p>
    <w:p w14:paraId="5E339F50" w14:textId="7EC7AE88" w:rsidR="00504F88" w:rsidRPr="00504F88" w:rsidRDefault="00504F88" w:rsidP="00504F88">
      <w:pPr>
        <w:jc w:val="center"/>
        <w:rPr>
          <w:bCs/>
          <w:sz w:val="20"/>
          <w:szCs w:val="20"/>
        </w:rPr>
      </w:pPr>
      <w:r w:rsidRPr="00504F88">
        <w:rPr>
          <w:rFonts w:cstheme="majorBidi"/>
          <w:b/>
          <w:bCs/>
          <w:sz w:val="20"/>
          <w:szCs w:val="20"/>
        </w:rPr>
        <w:t xml:space="preserve">Table 1: </w:t>
      </w:r>
      <w:r w:rsidRPr="00504F88">
        <w:rPr>
          <w:rFonts w:cstheme="majorBidi"/>
          <w:sz w:val="20"/>
          <w:szCs w:val="20"/>
        </w:rPr>
        <w:t>Loading Factor Table</w:t>
      </w:r>
    </w:p>
    <w:tbl>
      <w:tblPr>
        <w:tblW w:w="859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16"/>
        <w:gridCol w:w="1836"/>
        <w:gridCol w:w="2011"/>
        <w:gridCol w:w="2136"/>
      </w:tblGrid>
      <w:tr w:rsidR="00504F88" w:rsidRPr="00504F88" w14:paraId="7F8D2AC8" w14:textId="77777777" w:rsidTr="00504F88">
        <w:trPr>
          <w:trHeight w:val="285"/>
          <w:jc w:val="center"/>
        </w:trPr>
        <w:tc>
          <w:tcPr>
            <w:tcW w:w="2616" w:type="dxa"/>
            <w:shd w:val="clear" w:color="auto" w:fill="DDD9C3" w:themeFill="background2" w:themeFillShade="E6"/>
            <w:vAlign w:val="center"/>
            <w:hideMark/>
          </w:tcPr>
          <w:p w14:paraId="7D739D45" w14:textId="77777777" w:rsidR="00504F88" w:rsidRPr="00504F88" w:rsidRDefault="00504F88" w:rsidP="00FD0A26">
            <w:pPr>
              <w:ind w:firstLine="0"/>
              <w:jc w:val="center"/>
              <w:rPr>
                <w:rFonts w:eastAsia="Times New Roman" w:cstheme="majorBidi"/>
                <w:b/>
                <w:bCs/>
                <w:sz w:val="20"/>
                <w:szCs w:val="20"/>
                <w:lang w:val="en-ID" w:eastAsia="en-ID"/>
              </w:rPr>
            </w:pPr>
            <w:bookmarkStart w:id="1" w:name="_Hlk218017429"/>
            <w:r w:rsidRPr="00504F88">
              <w:rPr>
                <w:rFonts w:eastAsia="Times New Roman" w:cstheme="majorBidi"/>
                <w:b/>
                <w:bCs/>
                <w:sz w:val="20"/>
                <w:szCs w:val="20"/>
                <w:lang w:val="en-ID" w:eastAsia="en-ID"/>
              </w:rPr>
              <w:t>Description of Specific Statements</w:t>
            </w:r>
          </w:p>
        </w:tc>
        <w:tc>
          <w:tcPr>
            <w:tcW w:w="1836" w:type="dxa"/>
            <w:shd w:val="clear" w:color="auto" w:fill="DDD9C3" w:themeFill="background2" w:themeFillShade="E6"/>
            <w:vAlign w:val="center"/>
            <w:hideMark/>
          </w:tcPr>
          <w:p w14:paraId="57655EC5" w14:textId="77777777" w:rsidR="00504F88" w:rsidRPr="00504F88" w:rsidRDefault="00504F88" w:rsidP="00FD0A26">
            <w:pPr>
              <w:ind w:firstLine="0"/>
              <w:jc w:val="center"/>
              <w:rPr>
                <w:rFonts w:eastAsia="Times New Roman" w:cstheme="majorBidi"/>
                <w:b/>
                <w:bCs/>
                <w:color w:val="000000"/>
                <w:sz w:val="20"/>
                <w:szCs w:val="20"/>
                <w:lang w:val="en-ID" w:eastAsia="en-ID"/>
              </w:rPr>
            </w:pPr>
            <w:r w:rsidRPr="00504F88">
              <w:rPr>
                <w:rFonts w:eastAsia="Times New Roman" w:cstheme="majorBidi"/>
                <w:b/>
                <w:bCs/>
                <w:color w:val="000000"/>
                <w:sz w:val="20"/>
                <w:szCs w:val="20"/>
                <w:lang w:val="en-ID" w:eastAsia="en-ID"/>
              </w:rPr>
              <w:t>The Concept of Sustainable Development</w:t>
            </w:r>
          </w:p>
        </w:tc>
        <w:tc>
          <w:tcPr>
            <w:tcW w:w="2011" w:type="dxa"/>
            <w:shd w:val="clear" w:color="auto" w:fill="DDD9C3" w:themeFill="background2" w:themeFillShade="E6"/>
            <w:vAlign w:val="center"/>
            <w:hideMark/>
          </w:tcPr>
          <w:p w14:paraId="66F18B66" w14:textId="77777777" w:rsidR="00504F88" w:rsidRPr="00504F88" w:rsidRDefault="00504F88" w:rsidP="00FD0A26">
            <w:pPr>
              <w:ind w:firstLine="0"/>
              <w:jc w:val="center"/>
              <w:rPr>
                <w:rFonts w:eastAsia="Times New Roman" w:cstheme="majorBidi"/>
                <w:b/>
                <w:bCs/>
                <w:color w:val="000000"/>
                <w:sz w:val="20"/>
                <w:szCs w:val="20"/>
                <w:lang w:val="en-ID" w:eastAsia="en-ID"/>
              </w:rPr>
            </w:pPr>
            <w:r w:rsidRPr="00504F88">
              <w:rPr>
                <w:rFonts w:eastAsia="Times New Roman" w:cstheme="majorBidi"/>
                <w:b/>
                <w:bCs/>
                <w:color w:val="000000"/>
                <w:sz w:val="20"/>
                <w:szCs w:val="20"/>
                <w:lang w:val="en-ID" w:eastAsia="en-ID"/>
              </w:rPr>
              <w:t xml:space="preserve">Pro-Environmental </w:t>
            </w:r>
            <w:proofErr w:type="spellStart"/>
            <w:r w:rsidRPr="00504F88">
              <w:rPr>
                <w:rFonts w:eastAsia="Times New Roman" w:cstheme="majorBidi"/>
                <w:b/>
                <w:bCs/>
                <w:color w:val="000000"/>
                <w:sz w:val="20"/>
                <w:szCs w:val="20"/>
                <w:lang w:val="en-ID" w:eastAsia="en-ID"/>
              </w:rPr>
              <w:t>Behavior</w:t>
            </w:r>
            <w:proofErr w:type="spellEnd"/>
          </w:p>
        </w:tc>
        <w:tc>
          <w:tcPr>
            <w:tcW w:w="2136" w:type="dxa"/>
            <w:shd w:val="clear" w:color="auto" w:fill="DDD9C3" w:themeFill="background2" w:themeFillShade="E6"/>
            <w:vAlign w:val="center"/>
            <w:hideMark/>
          </w:tcPr>
          <w:p w14:paraId="5B7DAE1B" w14:textId="77777777" w:rsidR="00504F88" w:rsidRPr="00504F88" w:rsidRDefault="00504F88" w:rsidP="00FD0A26">
            <w:pPr>
              <w:ind w:firstLine="0"/>
              <w:jc w:val="center"/>
              <w:rPr>
                <w:rFonts w:eastAsia="Times New Roman" w:cstheme="majorBidi"/>
                <w:b/>
                <w:bCs/>
                <w:color w:val="000000"/>
                <w:sz w:val="20"/>
                <w:szCs w:val="20"/>
                <w:lang w:val="en-ID" w:eastAsia="en-ID"/>
              </w:rPr>
            </w:pPr>
            <w:r w:rsidRPr="00504F88">
              <w:rPr>
                <w:rFonts w:eastAsia="Times New Roman" w:cstheme="majorBidi"/>
                <w:b/>
                <w:bCs/>
                <w:color w:val="000000"/>
                <w:sz w:val="20"/>
                <w:szCs w:val="20"/>
                <w:lang w:val="en-ID" w:eastAsia="en-ID"/>
              </w:rPr>
              <w:t>Students' Ecological Competence</w:t>
            </w:r>
          </w:p>
        </w:tc>
      </w:tr>
      <w:tr w:rsidR="00504F88" w:rsidRPr="00504F88" w14:paraId="24D140CA" w14:textId="77777777" w:rsidTr="00504F88">
        <w:trPr>
          <w:trHeight w:val="285"/>
          <w:jc w:val="center"/>
        </w:trPr>
        <w:tc>
          <w:tcPr>
            <w:tcW w:w="2616" w:type="dxa"/>
            <w:shd w:val="clear" w:color="auto" w:fill="auto"/>
            <w:vAlign w:val="bottom"/>
            <w:hideMark/>
          </w:tcPr>
          <w:p w14:paraId="65AF26DA"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Awareness of the concept of sustainability for the future</w:t>
            </w:r>
          </w:p>
        </w:tc>
        <w:tc>
          <w:tcPr>
            <w:tcW w:w="1836" w:type="dxa"/>
            <w:shd w:val="clear" w:color="auto" w:fill="auto"/>
            <w:vAlign w:val="center"/>
          </w:tcPr>
          <w:p w14:paraId="0B725E21"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0.828</w:t>
            </w:r>
          </w:p>
        </w:tc>
        <w:tc>
          <w:tcPr>
            <w:tcW w:w="2011" w:type="dxa"/>
            <w:shd w:val="clear" w:color="auto" w:fill="auto"/>
            <w:vAlign w:val="center"/>
            <w:hideMark/>
          </w:tcPr>
          <w:p w14:paraId="3D91BECD" w14:textId="77777777" w:rsidR="00504F88" w:rsidRPr="00504F88" w:rsidRDefault="00504F88" w:rsidP="00504F88">
            <w:pPr>
              <w:jc w:val="center"/>
              <w:rPr>
                <w:rFonts w:eastAsia="Times New Roman" w:cstheme="majorBidi"/>
                <w:color w:val="006400"/>
                <w:sz w:val="20"/>
                <w:szCs w:val="20"/>
                <w:lang w:val="en-ID" w:eastAsia="en-ID"/>
              </w:rPr>
            </w:pPr>
          </w:p>
        </w:tc>
        <w:tc>
          <w:tcPr>
            <w:tcW w:w="2136" w:type="dxa"/>
            <w:shd w:val="clear" w:color="auto" w:fill="auto"/>
            <w:vAlign w:val="center"/>
            <w:hideMark/>
          </w:tcPr>
          <w:p w14:paraId="1B519BC3" w14:textId="77777777" w:rsidR="00504F88" w:rsidRPr="00504F88" w:rsidRDefault="00504F88" w:rsidP="00504F88">
            <w:pPr>
              <w:jc w:val="center"/>
              <w:rPr>
                <w:rFonts w:eastAsia="Times New Roman" w:cstheme="majorBidi"/>
                <w:sz w:val="20"/>
                <w:szCs w:val="20"/>
                <w:lang w:val="en-ID" w:eastAsia="en-ID"/>
              </w:rPr>
            </w:pPr>
          </w:p>
        </w:tc>
      </w:tr>
      <w:tr w:rsidR="00504F88" w:rsidRPr="00504F88" w14:paraId="21D94F09" w14:textId="77777777" w:rsidTr="00504F88">
        <w:trPr>
          <w:trHeight w:val="285"/>
          <w:jc w:val="center"/>
        </w:trPr>
        <w:tc>
          <w:tcPr>
            <w:tcW w:w="2616" w:type="dxa"/>
            <w:shd w:val="clear" w:color="auto" w:fill="auto"/>
            <w:vAlign w:val="bottom"/>
            <w:hideMark/>
          </w:tcPr>
          <w:p w14:paraId="0AAF3AA9"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Understanding the impact of plastic waste on soil ecosystems</w:t>
            </w:r>
          </w:p>
        </w:tc>
        <w:tc>
          <w:tcPr>
            <w:tcW w:w="1836" w:type="dxa"/>
            <w:shd w:val="clear" w:color="auto" w:fill="auto"/>
            <w:vAlign w:val="center"/>
          </w:tcPr>
          <w:p w14:paraId="7F6A1E7D"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0.924</w:t>
            </w:r>
          </w:p>
        </w:tc>
        <w:tc>
          <w:tcPr>
            <w:tcW w:w="2011" w:type="dxa"/>
            <w:shd w:val="clear" w:color="auto" w:fill="auto"/>
            <w:vAlign w:val="center"/>
            <w:hideMark/>
          </w:tcPr>
          <w:p w14:paraId="25208AFC" w14:textId="77777777" w:rsidR="00504F88" w:rsidRPr="00504F88" w:rsidRDefault="00504F88" w:rsidP="00504F88">
            <w:pPr>
              <w:jc w:val="center"/>
              <w:rPr>
                <w:rFonts w:eastAsia="Times New Roman" w:cstheme="majorBidi"/>
                <w:color w:val="006400"/>
                <w:sz w:val="20"/>
                <w:szCs w:val="20"/>
                <w:lang w:val="en-ID" w:eastAsia="en-ID"/>
              </w:rPr>
            </w:pPr>
          </w:p>
        </w:tc>
        <w:tc>
          <w:tcPr>
            <w:tcW w:w="2136" w:type="dxa"/>
            <w:shd w:val="clear" w:color="auto" w:fill="auto"/>
            <w:vAlign w:val="center"/>
            <w:hideMark/>
          </w:tcPr>
          <w:p w14:paraId="6C80BCD6" w14:textId="77777777" w:rsidR="00504F88" w:rsidRPr="00504F88" w:rsidRDefault="00504F88" w:rsidP="00504F88">
            <w:pPr>
              <w:jc w:val="center"/>
              <w:rPr>
                <w:rFonts w:eastAsia="Times New Roman" w:cstheme="majorBidi"/>
                <w:sz w:val="20"/>
                <w:szCs w:val="20"/>
                <w:lang w:val="en-ID" w:eastAsia="en-ID"/>
              </w:rPr>
            </w:pPr>
          </w:p>
        </w:tc>
      </w:tr>
      <w:tr w:rsidR="00504F88" w:rsidRPr="00504F88" w14:paraId="59968388" w14:textId="77777777" w:rsidTr="00504F88">
        <w:trPr>
          <w:trHeight w:val="285"/>
          <w:jc w:val="center"/>
        </w:trPr>
        <w:tc>
          <w:tcPr>
            <w:tcW w:w="2616" w:type="dxa"/>
            <w:shd w:val="clear" w:color="auto" w:fill="auto"/>
            <w:vAlign w:val="bottom"/>
            <w:hideMark/>
          </w:tcPr>
          <w:p w14:paraId="28B9D853"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The belief that protecting nature is a religious obligation (Islam)</w:t>
            </w:r>
          </w:p>
        </w:tc>
        <w:tc>
          <w:tcPr>
            <w:tcW w:w="1836" w:type="dxa"/>
            <w:shd w:val="clear" w:color="auto" w:fill="auto"/>
            <w:vAlign w:val="center"/>
            <w:hideMark/>
          </w:tcPr>
          <w:p w14:paraId="7CACA9A3" w14:textId="77777777" w:rsidR="00504F88" w:rsidRPr="00504F88" w:rsidRDefault="00504F88" w:rsidP="00504F88">
            <w:pPr>
              <w:jc w:val="center"/>
              <w:rPr>
                <w:rFonts w:eastAsia="Times New Roman" w:cstheme="majorBidi"/>
                <w:b/>
                <w:bCs/>
                <w:color w:val="000000"/>
                <w:sz w:val="20"/>
                <w:szCs w:val="20"/>
                <w:lang w:val="en-ID" w:eastAsia="en-ID"/>
              </w:rPr>
            </w:pPr>
            <w:r w:rsidRPr="00504F88">
              <w:rPr>
                <w:rFonts w:eastAsia="Times New Roman" w:cstheme="majorBidi"/>
                <w:color w:val="006400"/>
                <w:sz w:val="20"/>
                <w:szCs w:val="20"/>
                <w:lang w:val="en-ID" w:eastAsia="en-ID"/>
              </w:rPr>
              <w:t>0.904</w:t>
            </w:r>
          </w:p>
        </w:tc>
        <w:tc>
          <w:tcPr>
            <w:tcW w:w="2011" w:type="dxa"/>
            <w:shd w:val="clear" w:color="auto" w:fill="auto"/>
            <w:vAlign w:val="center"/>
          </w:tcPr>
          <w:p w14:paraId="06F4C8FB" w14:textId="77777777" w:rsidR="00504F88" w:rsidRPr="00504F88" w:rsidRDefault="00504F88" w:rsidP="00504F88">
            <w:pPr>
              <w:jc w:val="center"/>
              <w:rPr>
                <w:rFonts w:eastAsia="Times New Roman" w:cstheme="majorBidi"/>
                <w:color w:val="006400"/>
                <w:sz w:val="20"/>
                <w:szCs w:val="20"/>
                <w:lang w:val="en-ID" w:eastAsia="en-ID"/>
              </w:rPr>
            </w:pPr>
          </w:p>
        </w:tc>
        <w:tc>
          <w:tcPr>
            <w:tcW w:w="2136" w:type="dxa"/>
            <w:shd w:val="clear" w:color="auto" w:fill="auto"/>
            <w:vAlign w:val="center"/>
            <w:hideMark/>
          </w:tcPr>
          <w:p w14:paraId="77CEF4E9" w14:textId="77777777" w:rsidR="00504F88" w:rsidRPr="00504F88" w:rsidRDefault="00504F88" w:rsidP="00504F88">
            <w:pPr>
              <w:jc w:val="center"/>
              <w:rPr>
                <w:rFonts w:eastAsia="Times New Roman" w:cstheme="majorBidi"/>
                <w:color w:val="006400"/>
                <w:sz w:val="20"/>
                <w:szCs w:val="20"/>
                <w:lang w:val="en-ID" w:eastAsia="en-ID"/>
              </w:rPr>
            </w:pPr>
          </w:p>
        </w:tc>
      </w:tr>
      <w:tr w:rsidR="00504F88" w:rsidRPr="00504F88" w14:paraId="375EECCF" w14:textId="77777777" w:rsidTr="00504F88">
        <w:trPr>
          <w:trHeight w:val="285"/>
          <w:jc w:val="center"/>
        </w:trPr>
        <w:tc>
          <w:tcPr>
            <w:tcW w:w="2616" w:type="dxa"/>
            <w:shd w:val="clear" w:color="auto" w:fill="auto"/>
            <w:vAlign w:val="bottom"/>
            <w:hideMark/>
          </w:tcPr>
          <w:p w14:paraId="7E40E007"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The habit of separating waste types at school</w:t>
            </w:r>
          </w:p>
        </w:tc>
        <w:tc>
          <w:tcPr>
            <w:tcW w:w="1836" w:type="dxa"/>
            <w:shd w:val="clear" w:color="auto" w:fill="auto"/>
            <w:vAlign w:val="center"/>
            <w:hideMark/>
          </w:tcPr>
          <w:p w14:paraId="19DF74C4"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tcPr>
          <w:p w14:paraId="2C8F3F5F"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0.843</w:t>
            </w:r>
          </w:p>
        </w:tc>
        <w:tc>
          <w:tcPr>
            <w:tcW w:w="2136" w:type="dxa"/>
            <w:shd w:val="clear" w:color="auto" w:fill="auto"/>
            <w:vAlign w:val="center"/>
            <w:hideMark/>
          </w:tcPr>
          <w:p w14:paraId="0E7EF3E2" w14:textId="77777777" w:rsidR="00504F88" w:rsidRPr="00504F88" w:rsidRDefault="00504F88" w:rsidP="00504F88">
            <w:pPr>
              <w:jc w:val="center"/>
              <w:rPr>
                <w:rFonts w:eastAsia="Times New Roman" w:cstheme="majorBidi"/>
                <w:color w:val="006400"/>
                <w:sz w:val="20"/>
                <w:szCs w:val="20"/>
                <w:lang w:val="en-ID" w:eastAsia="en-ID"/>
              </w:rPr>
            </w:pPr>
          </w:p>
        </w:tc>
      </w:tr>
      <w:tr w:rsidR="00504F88" w:rsidRPr="00504F88" w14:paraId="6BA9B6D5" w14:textId="77777777" w:rsidTr="00504F88">
        <w:trPr>
          <w:trHeight w:val="285"/>
          <w:jc w:val="center"/>
        </w:trPr>
        <w:tc>
          <w:tcPr>
            <w:tcW w:w="2616" w:type="dxa"/>
            <w:shd w:val="clear" w:color="auto" w:fill="auto"/>
            <w:vAlign w:val="bottom"/>
            <w:hideMark/>
          </w:tcPr>
          <w:p w14:paraId="4FAF9485"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Concrete actions to save energy (lights/fans)</w:t>
            </w:r>
          </w:p>
        </w:tc>
        <w:tc>
          <w:tcPr>
            <w:tcW w:w="1836" w:type="dxa"/>
            <w:shd w:val="clear" w:color="auto" w:fill="auto"/>
            <w:vAlign w:val="center"/>
            <w:hideMark/>
          </w:tcPr>
          <w:p w14:paraId="1DE18B8F"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tcPr>
          <w:p w14:paraId="70B3AD3C"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0.755</w:t>
            </w:r>
          </w:p>
        </w:tc>
        <w:tc>
          <w:tcPr>
            <w:tcW w:w="2136" w:type="dxa"/>
            <w:shd w:val="clear" w:color="auto" w:fill="auto"/>
            <w:vAlign w:val="center"/>
            <w:hideMark/>
          </w:tcPr>
          <w:p w14:paraId="3809D128" w14:textId="77777777" w:rsidR="00504F88" w:rsidRPr="00504F88" w:rsidRDefault="00504F88" w:rsidP="00504F88">
            <w:pPr>
              <w:jc w:val="center"/>
              <w:rPr>
                <w:rFonts w:eastAsia="Times New Roman" w:cstheme="majorBidi"/>
                <w:color w:val="006400"/>
                <w:sz w:val="20"/>
                <w:szCs w:val="20"/>
                <w:lang w:val="en-ID" w:eastAsia="en-ID"/>
              </w:rPr>
            </w:pPr>
          </w:p>
        </w:tc>
      </w:tr>
      <w:tr w:rsidR="00504F88" w:rsidRPr="00504F88" w14:paraId="1E8CBE1B" w14:textId="77777777" w:rsidTr="00504F88">
        <w:trPr>
          <w:trHeight w:val="285"/>
          <w:jc w:val="center"/>
        </w:trPr>
        <w:tc>
          <w:tcPr>
            <w:tcW w:w="2616" w:type="dxa"/>
            <w:shd w:val="clear" w:color="auto" w:fill="auto"/>
            <w:vAlign w:val="bottom"/>
            <w:hideMark/>
          </w:tcPr>
          <w:p w14:paraId="68D7F845"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Awareness of saving water when performing ablution</w:t>
            </w:r>
          </w:p>
        </w:tc>
        <w:tc>
          <w:tcPr>
            <w:tcW w:w="1836" w:type="dxa"/>
            <w:shd w:val="clear" w:color="auto" w:fill="auto"/>
            <w:vAlign w:val="center"/>
            <w:hideMark/>
          </w:tcPr>
          <w:p w14:paraId="405C68AD"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tcPr>
          <w:p w14:paraId="3428871F"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0.814</w:t>
            </w:r>
          </w:p>
        </w:tc>
        <w:tc>
          <w:tcPr>
            <w:tcW w:w="2136" w:type="dxa"/>
            <w:shd w:val="clear" w:color="auto" w:fill="auto"/>
            <w:vAlign w:val="center"/>
            <w:hideMark/>
          </w:tcPr>
          <w:p w14:paraId="11D474AD" w14:textId="77777777" w:rsidR="00504F88" w:rsidRPr="00504F88" w:rsidRDefault="00504F88" w:rsidP="00504F88">
            <w:pPr>
              <w:jc w:val="center"/>
              <w:rPr>
                <w:rFonts w:eastAsia="Times New Roman" w:cstheme="majorBidi"/>
                <w:color w:val="006400"/>
                <w:sz w:val="20"/>
                <w:szCs w:val="20"/>
                <w:lang w:val="en-ID" w:eastAsia="en-ID"/>
              </w:rPr>
            </w:pPr>
          </w:p>
        </w:tc>
      </w:tr>
      <w:tr w:rsidR="00504F88" w:rsidRPr="00504F88" w14:paraId="101CF89D" w14:textId="77777777" w:rsidTr="00504F88">
        <w:trPr>
          <w:trHeight w:val="285"/>
          <w:jc w:val="center"/>
        </w:trPr>
        <w:tc>
          <w:tcPr>
            <w:tcW w:w="2616" w:type="dxa"/>
            <w:shd w:val="clear" w:color="auto" w:fill="auto"/>
            <w:vAlign w:val="bottom"/>
            <w:hideMark/>
          </w:tcPr>
          <w:p w14:paraId="1865E090"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Commitment to reducing plastic by bringing a water bottle</w:t>
            </w:r>
          </w:p>
        </w:tc>
        <w:tc>
          <w:tcPr>
            <w:tcW w:w="1836" w:type="dxa"/>
            <w:shd w:val="clear" w:color="auto" w:fill="auto"/>
            <w:vAlign w:val="center"/>
            <w:hideMark/>
          </w:tcPr>
          <w:p w14:paraId="1764A41F"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hideMark/>
          </w:tcPr>
          <w:p w14:paraId="0AF8E865" w14:textId="77777777" w:rsidR="00504F88" w:rsidRPr="00504F88" w:rsidRDefault="00504F88" w:rsidP="00504F88">
            <w:pPr>
              <w:jc w:val="center"/>
              <w:rPr>
                <w:rFonts w:eastAsia="Times New Roman" w:cstheme="majorBidi"/>
                <w:sz w:val="20"/>
                <w:szCs w:val="20"/>
                <w:lang w:val="en-ID" w:eastAsia="en-ID"/>
              </w:rPr>
            </w:pPr>
            <w:r w:rsidRPr="00504F88">
              <w:rPr>
                <w:rFonts w:eastAsia="Times New Roman" w:cstheme="majorBidi"/>
                <w:color w:val="006400"/>
                <w:sz w:val="20"/>
                <w:szCs w:val="20"/>
                <w:lang w:val="en-ID" w:eastAsia="en-ID"/>
              </w:rPr>
              <w:t>0.843</w:t>
            </w:r>
          </w:p>
        </w:tc>
        <w:tc>
          <w:tcPr>
            <w:tcW w:w="2136" w:type="dxa"/>
            <w:shd w:val="clear" w:color="auto" w:fill="auto"/>
            <w:vAlign w:val="center"/>
          </w:tcPr>
          <w:p w14:paraId="09F827D6" w14:textId="77777777" w:rsidR="00504F88" w:rsidRPr="00504F88" w:rsidRDefault="00504F88" w:rsidP="00504F88">
            <w:pPr>
              <w:jc w:val="center"/>
              <w:rPr>
                <w:rFonts w:eastAsia="Times New Roman" w:cstheme="majorBidi"/>
                <w:color w:val="006400"/>
                <w:sz w:val="20"/>
                <w:szCs w:val="20"/>
                <w:lang w:val="en-ID" w:eastAsia="en-ID"/>
              </w:rPr>
            </w:pPr>
          </w:p>
        </w:tc>
      </w:tr>
      <w:tr w:rsidR="00504F88" w:rsidRPr="00504F88" w14:paraId="335CBE5F" w14:textId="77777777" w:rsidTr="00504F88">
        <w:trPr>
          <w:trHeight w:val="285"/>
          <w:jc w:val="center"/>
        </w:trPr>
        <w:tc>
          <w:tcPr>
            <w:tcW w:w="2616" w:type="dxa"/>
            <w:shd w:val="clear" w:color="auto" w:fill="auto"/>
            <w:vAlign w:val="bottom"/>
            <w:hideMark/>
          </w:tcPr>
          <w:p w14:paraId="427A5788"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Practical skills in making organic fertilizer</w:t>
            </w:r>
          </w:p>
        </w:tc>
        <w:tc>
          <w:tcPr>
            <w:tcW w:w="1836" w:type="dxa"/>
            <w:shd w:val="clear" w:color="auto" w:fill="auto"/>
            <w:vAlign w:val="center"/>
            <w:hideMark/>
          </w:tcPr>
          <w:p w14:paraId="6A7CD498"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hideMark/>
          </w:tcPr>
          <w:p w14:paraId="51F4C367" w14:textId="77777777" w:rsidR="00504F88" w:rsidRPr="00504F88" w:rsidRDefault="00504F88" w:rsidP="00504F88">
            <w:pPr>
              <w:jc w:val="center"/>
              <w:rPr>
                <w:rFonts w:eastAsia="Times New Roman" w:cstheme="majorBidi"/>
                <w:sz w:val="20"/>
                <w:szCs w:val="20"/>
                <w:lang w:val="en-ID" w:eastAsia="en-ID"/>
              </w:rPr>
            </w:pPr>
          </w:p>
        </w:tc>
        <w:tc>
          <w:tcPr>
            <w:tcW w:w="2136" w:type="dxa"/>
            <w:shd w:val="clear" w:color="auto" w:fill="auto"/>
            <w:vAlign w:val="center"/>
          </w:tcPr>
          <w:p w14:paraId="35F92DBF"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0.941</w:t>
            </w:r>
          </w:p>
        </w:tc>
      </w:tr>
      <w:tr w:rsidR="00504F88" w:rsidRPr="00504F88" w14:paraId="403DEAA5" w14:textId="77777777" w:rsidTr="00504F88">
        <w:trPr>
          <w:trHeight w:val="285"/>
          <w:jc w:val="center"/>
        </w:trPr>
        <w:tc>
          <w:tcPr>
            <w:tcW w:w="2616" w:type="dxa"/>
            <w:shd w:val="clear" w:color="auto" w:fill="auto"/>
            <w:vAlign w:val="bottom"/>
            <w:hideMark/>
          </w:tcPr>
          <w:p w14:paraId="08000F04"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Ability to educate others about reforestation</w:t>
            </w:r>
          </w:p>
        </w:tc>
        <w:tc>
          <w:tcPr>
            <w:tcW w:w="1836" w:type="dxa"/>
            <w:shd w:val="clear" w:color="auto" w:fill="auto"/>
            <w:vAlign w:val="center"/>
            <w:hideMark/>
          </w:tcPr>
          <w:p w14:paraId="054CD164"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hideMark/>
          </w:tcPr>
          <w:p w14:paraId="6F09A0FF" w14:textId="77777777" w:rsidR="00504F88" w:rsidRPr="00504F88" w:rsidRDefault="00504F88" w:rsidP="00504F88">
            <w:pPr>
              <w:jc w:val="center"/>
              <w:rPr>
                <w:rFonts w:eastAsia="Times New Roman" w:cstheme="majorBidi"/>
                <w:sz w:val="20"/>
                <w:szCs w:val="20"/>
                <w:lang w:val="en-ID" w:eastAsia="en-ID"/>
              </w:rPr>
            </w:pPr>
          </w:p>
        </w:tc>
        <w:tc>
          <w:tcPr>
            <w:tcW w:w="2136" w:type="dxa"/>
            <w:shd w:val="clear" w:color="auto" w:fill="auto"/>
            <w:vAlign w:val="center"/>
          </w:tcPr>
          <w:p w14:paraId="5F725544"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0.875</w:t>
            </w:r>
          </w:p>
        </w:tc>
      </w:tr>
      <w:tr w:rsidR="00504F88" w:rsidRPr="00504F88" w14:paraId="4E57F5E3" w14:textId="77777777" w:rsidTr="00504F88">
        <w:trPr>
          <w:trHeight w:val="285"/>
          <w:jc w:val="center"/>
        </w:trPr>
        <w:tc>
          <w:tcPr>
            <w:tcW w:w="2616" w:type="dxa"/>
            <w:shd w:val="clear" w:color="auto" w:fill="auto"/>
            <w:vAlign w:val="bottom"/>
            <w:hideMark/>
          </w:tcPr>
          <w:p w14:paraId="225F86B9"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eastAsia="Times New Roman" w:cstheme="majorBidi"/>
                <w:color w:val="000000"/>
                <w:sz w:val="20"/>
                <w:szCs w:val="20"/>
                <w:lang w:val="en-ID" w:eastAsia="en-ID"/>
              </w:rPr>
              <w:t>Sensitivity to identifying environmental issues at school</w:t>
            </w:r>
          </w:p>
        </w:tc>
        <w:tc>
          <w:tcPr>
            <w:tcW w:w="1836" w:type="dxa"/>
            <w:shd w:val="clear" w:color="auto" w:fill="auto"/>
            <w:vAlign w:val="center"/>
            <w:hideMark/>
          </w:tcPr>
          <w:p w14:paraId="45C02553" w14:textId="77777777" w:rsidR="00504F88" w:rsidRPr="00504F88" w:rsidRDefault="00504F88" w:rsidP="00504F88">
            <w:pPr>
              <w:jc w:val="center"/>
              <w:rPr>
                <w:rFonts w:eastAsia="Times New Roman" w:cstheme="majorBidi"/>
                <w:b/>
                <w:bCs/>
                <w:color w:val="000000"/>
                <w:sz w:val="20"/>
                <w:szCs w:val="20"/>
                <w:lang w:val="en-ID" w:eastAsia="en-ID"/>
              </w:rPr>
            </w:pPr>
          </w:p>
        </w:tc>
        <w:tc>
          <w:tcPr>
            <w:tcW w:w="2011" w:type="dxa"/>
            <w:shd w:val="clear" w:color="auto" w:fill="auto"/>
            <w:vAlign w:val="center"/>
            <w:hideMark/>
          </w:tcPr>
          <w:p w14:paraId="7764AAE1" w14:textId="77777777" w:rsidR="00504F88" w:rsidRPr="00504F88" w:rsidRDefault="00504F88" w:rsidP="00504F88">
            <w:pPr>
              <w:jc w:val="center"/>
              <w:rPr>
                <w:rFonts w:eastAsia="Times New Roman" w:cstheme="majorBidi"/>
                <w:sz w:val="20"/>
                <w:szCs w:val="20"/>
                <w:lang w:val="en-ID" w:eastAsia="en-ID"/>
              </w:rPr>
            </w:pPr>
          </w:p>
        </w:tc>
        <w:tc>
          <w:tcPr>
            <w:tcW w:w="2136" w:type="dxa"/>
            <w:shd w:val="clear" w:color="auto" w:fill="auto"/>
            <w:vAlign w:val="center"/>
          </w:tcPr>
          <w:p w14:paraId="6BFC6FBF" w14:textId="77777777" w:rsidR="00504F88" w:rsidRPr="00504F88" w:rsidRDefault="00504F88" w:rsidP="00504F88">
            <w:pPr>
              <w:jc w:val="center"/>
              <w:rPr>
                <w:rFonts w:eastAsia="Times New Roman" w:cstheme="majorBidi"/>
                <w:color w:val="006400"/>
                <w:sz w:val="20"/>
                <w:szCs w:val="20"/>
                <w:lang w:val="en-ID" w:eastAsia="en-ID"/>
              </w:rPr>
            </w:pPr>
            <w:r w:rsidRPr="00504F88">
              <w:rPr>
                <w:rFonts w:eastAsia="Times New Roman" w:cstheme="majorBidi"/>
                <w:color w:val="006400"/>
                <w:sz w:val="20"/>
                <w:szCs w:val="20"/>
                <w:lang w:val="en-ID" w:eastAsia="en-ID"/>
              </w:rPr>
              <w:t>0.901</w:t>
            </w:r>
          </w:p>
        </w:tc>
      </w:tr>
      <w:tr w:rsidR="00504F88" w:rsidRPr="00504F88" w14:paraId="2CC4C60D" w14:textId="77777777" w:rsidTr="00504F88">
        <w:trPr>
          <w:trHeight w:val="285"/>
          <w:jc w:val="center"/>
        </w:trPr>
        <w:tc>
          <w:tcPr>
            <w:tcW w:w="2616" w:type="dxa"/>
            <w:shd w:val="clear" w:color="auto" w:fill="auto"/>
            <w:vAlign w:val="bottom"/>
            <w:hideMark/>
          </w:tcPr>
          <w:p w14:paraId="1F80D6EA" w14:textId="77777777" w:rsidR="00504F88" w:rsidRPr="00504F88" w:rsidRDefault="00504F88" w:rsidP="00504F88">
            <w:pPr>
              <w:ind w:firstLine="0"/>
              <w:rPr>
                <w:rFonts w:eastAsia="Times New Roman" w:cstheme="majorBidi"/>
                <w:color w:val="000000"/>
                <w:sz w:val="20"/>
                <w:szCs w:val="20"/>
                <w:lang w:val="en-ID" w:eastAsia="en-ID"/>
              </w:rPr>
            </w:pPr>
            <w:r w:rsidRPr="00504F88">
              <w:rPr>
                <w:rFonts w:ascii="Tahoma" w:eastAsia="Times New Roman" w:hAnsi="Tahoma" w:cs="Tahoma"/>
                <w:color w:val="000000"/>
                <w:sz w:val="20"/>
                <w:szCs w:val="20"/>
                <w:lang w:val="en-ID" w:eastAsia="en-ID"/>
              </w:rPr>
              <w:t>﻿</w:t>
            </w:r>
            <w:r w:rsidRPr="00504F88">
              <w:rPr>
                <w:sz w:val="20"/>
                <w:szCs w:val="20"/>
              </w:rPr>
              <w:t xml:space="preserve"> </w:t>
            </w:r>
            <w:r w:rsidRPr="00504F88">
              <w:rPr>
                <w:rFonts w:eastAsia="Times New Roman" w:cstheme="majorBidi"/>
                <w:color w:val="000000"/>
                <w:sz w:val="20"/>
                <w:szCs w:val="20"/>
                <w:lang w:val="en-ID" w:eastAsia="en-ID"/>
              </w:rPr>
              <w:t xml:space="preserve">Mastery of </w:t>
            </w:r>
            <w:proofErr w:type="spellStart"/>
            <w:r w:rsidRPr="00504F88">
              <w:rPr>
                <w:rFonts w:eastAsia="Times New Roman" w:cstheme="majorBidi"/>
                <w:color w:val="000000"/>
                <w:sz w:val="20"/>
                <w:szCs w:val="20"/>
                <w:lang w:val="en-ID" w:eastAsia="en-ID"/>
              </w:rPr>
              <w:t>biopore</w:t>
            </w:r>
            <w:proofErr w:type="spellEnd"/>
            <w:r w:rsidRPr="00504F88">
              <w:rPr>
                <w:rFonts w:eastAsia="Times New Roman" w:cstheme="majorBidi"/>
                <w:color w:val="000000"/>
                <w:sz w:val="20"/>
                <w:szCs w:val="20"/>
                <w:lang w:val="en-ID" w:eastAsia="en-ID"/>
              </w:rPr>
              <w:t xml:space="preserve"> hole maintenance techniques</w:t>
            </w:r>
          </w:p>
        </w:tc>
        <w:tc>
          <w:tcPr>
            <w:tcW w:w="1836" w:type="dxa"/>
            <w:shd w:val="clear" w:color="auto" w:fill="auto"/>
            <w:vAlign w:val="center"/>
            <w:hideMark/>
          </w:tcPr>
          <w:p w14:paraId="2CC1937E" w14:textId="77777777" w:rsidR="00504F88" w:rsidRPr="00504F88" w:rsidRDefault="00504F88" w:rsidP="00504F88">
            <w:pPr>
              <w:jc w:val="center"/>
              <w:rPr>
                <w:rFonts w:eastAsia="Times New Roman" w:cstheme="majorBidi"/>
                <w:color w:val="006400"/>
                <w:sz w:val="20"/>
                <w:szCs w:val="20"/>
                <w:lang w:val="en-ID" w:eastAsia="en-ID"/>
              </w:rPr>
            </w:pPr>
          </w:p>
        </w:tc>
        <w:tc>
          <w:tcPr>
            <w:tcW w:w="2011" w:type="dxa"/>
            <w:shd w:val="clear" w:color="auto" w:fill="auto"/>
            <w:vAlign w:val="center"/>
            <w:hideMark/>
          </w:tcPr>
          <w:p w14:paraId="1944235D" w14:textId="77777777" w:rsidR="00504F88" w:rsidRPr="00504F88" w:rsidRDefault="00504F88" w:rsidP="00504F88">
            <w:pPr>
              <w:jc w:val="center"/>
              <w:rPr>
                <w:rFonts w:eastAsia="Times New Roman" w:cstheme="majorBidi"/>
                <w:color w:val="006400"/>
                <w:sz w:val="20"/>
                <w:szCs w:val="20"/>
                <w:lang w:val="en-ID" w:eastAsia="en-ID"/>
              </w:rPr>
            </w:pPr>
          </w:p>
        </w:tc>
        <w:tc>
          <w:tcPr>
            <w:tcW w:w="2136" w:type="dxa"/>
            <w:shd w:val="clear" w:color="auto" w:fill="auto"/>
            <w:vAlign w:val="center"/>
            <w:hideMark/>
          </w:tcPr>
          <w:p w14:paraId="660D7169" w14:textId="77777777" w:rsidR="00504F88" w:rsidRPr="00504F88" w:rsidRDefault="00504F88" w:rsidP="00504F88">
            <w:pPr>
              <w:jc w:val="center"/>
              <w:rPr>
                <w:rFonts w:eastAsia="Times New Roman" w:cstheme="majorBidi"/>
                <w:sz w:val="20"/>
                <w:szCs w:val="20"/>
                <w:lang w:val="en-ID" w:eastAsia="en-ID"/>
              </w:rPr>
            </w:pPr>
            <w:r w:rsidRPr="00504F88">
              <w:rPr>
                <w:rFonts w:eastAsia="Times New Roman" w:cstheme="majorBidi"/>
                <w:color w:val="006400"/>
                <w:sz w:val="20"/>
                <w:szCs w:val="20"/>
                <w:lang w:val="en-ID" w:eastAsia="en-ID"/>
              </w:rPr>
              <w:t>0.968</w:t>
            </w:r>
          </w:p>
        </w:tc>
      </w:tr>
    </w:tbl>
    <w:bookmarkEnd w:id="1"/>
    <w:p w14:paraId="13EEB2B2" w14:textId="77777777" w:rsidR="00504F88" w:rsidRPr="00504F88" w:rsidRDefault="00504F88" w:rsidP="00504F88">
      <w:pPr>
        <w:jc w:val="both"/>
        <w:rPr>
          <w:rFonts w:cstheme="majorBidi"/>
          <w:sz w:val="20"/>
          <w:szCs w:val="20"/>
        </w:rPr>
      </w:pPr>
      <w:r w:rsidRPr="00504F88">
        <w:rPr>
          <w:rFonts w:cstheme="majorBidi"/>
          <w:sz w:val="20"/>
          <w:szCs w:val="20"/>
        </w:rPr>
        <w:tab/>
      </w:r>
    </w:p>
    <w:p w14:paraId="474A2590" w14:textId="77777777" w:rsidR="00504F88" w:rsidRPr="00504F88" w:rsidRDefault="00504F88" w:rsidP="00504F88">
      <w:pPr>
        <w:ind w:firstLine="720"/>
        <w:jc w:val="both"/>
        <w:rPr>
          <w:rFonts w:cstheme="majorBidi"/>
          <w:szCs w:val="24"/>
        </w:rPr>
      </w:pPr>
      <w:r w:rsidRPr="00504F88">
        <w:rPr>
          <w:rFonts w:cstheme="majorBidi"/>
          <w:szCs w:val="24"/>
        </w:rPr>
        <w:t xml:space="preserve">Based on Table 1, cognitive reinforcement of the concept of sustainable development at MA Al-Islam </w:t>
      </w:r>
      <w:proofErr w:type="spellStart"/>
      <w:r w:rsidRPr="00504F88">
        <w:rPr>
          <w:rFonts w:cstheme="majorBidi"/>
          <w:szCs w:val="24"/>
        </w:rPr>
        <w:t>Joresan</w:t>
      </w:r>
      <w:proofErr w:type="spellEnd"/>
      <w:r w:rsidRPr="00504F88">
        <w:rPr>
          <w:rFonts w:cstheme="majorBidi"/>
          <w:szCs w:val="24"/>
        </w:rPr>
        <w:t xml:space="preserve"> is key to motivating students to take concrete action. The significant influence on pro-environmental behavior shows that a good understanding can transform awareness into action, such as waste management and energy conservation, which are part of the P2RA program at the school.</w:t>
      </w:r>
    </w:p>
    <w:p w14:paraId="028FE96C" w14:textId="77777777" w:rsidR="00504F88" w:rsidRPr="00504F88" w:rsidRDefault="00504F88" w:rsidP="00504F88">
      <w:pPr>
        <w:jc w:val="both"/>
        <w:rPr>
          <w:rFonts w:cstheme="majorBidi"/>
          <w:szCs w:val="24"/>
        </w:rPr>
      </w:pPr>
      <w:r w:rsidRPr="00504F88">
        <w:rPr>
          <w:rFonts w:cstheme="majorBidi"/>
          <w:szCs w:val="24"/>
        </w:rPr>
        <w:tab/>
        <w:t xml:space="preserve">This reinforces the theory proposed by </w:t>
      </w:r>
      <w:r w:rsidRPr="00504F88">
        <w:rPr>
          <w:rFonts w:cstheme="majorBidi"/>
          <w:szCs w:val="24"/>
        </w:rPr>
        <w:fldChar w:fldCharType="begin" w:fldLock="1"/>
      </w:r>
      <w:r w:rsidRPr="00504F88">
        <w:rPr>
          <w:rFonts w:cstheme="majorBidi"/>
          <w:szCs w:val="24"/>
        </w:rPr>
        <w:instrText>ADDIN CSL_CITATION {"citationItems":[{"id":"ITEM-1","itemData":{"DOI":"10.46843/jiecr.v6i1.2185","author":[{"dropping-particle":"","family":"Mustika","given":"Rifqi Anjar","non-dropping-particle":"","parse-names":false,"suffix":""},{"dropping-particle":"","family":"Fadly","given":"Wirawan","non-dropping-particle":"","parse-names":false,"suffix":""},{"dropping-particle":"","family":"David","given":"Martinez","non-dropping-particle":"","parse-names":false,"suffix":""}],"id":"ITEM-1","issue":"1","issued":{"date-parts":[["2025"]]},"page":"220-228","title":"Students ' Socio-scientific Reasoning to Measure Decision-Making Ability Related to Sustainable Energy Issues","type":"article-journal","volume":"6"},"uris":["http://www.mendeley.com/documents/?uuid=f211e36e-97ec-40de-96d0-7947db07714c"]}],"mendeley":{"formattedCitation":"(Mustika et al., 2025)","plainTextFormattedCitation":"(Mustika et al., 2025)","previouslyFormattedCitation":"(Mustika et al., 2025)"},"properties":{"noteIndex":0},"schema":"https://github.com/citation-style-language/schema/raw/master/csl-citation.json"}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(Mustika et al., 2025)</w:t>
      </w:r>
      <w:r w:rsidRPr="00504F88">
        <w:rPr>
          <w:rFonts w:cstheme="majorBidi"/>
          <w:szCs w:val="24"/>
        </w:rPr>
        <w:fldChar w:fldCharType="end"/>
      </w:r>
      <w:r w:rsidRPr="00504F88">
        <w:rPr>
          <w:rFonts w:cstheme="majorBidi"/>
          <w:szCs w:val="24"/>
        </w:rPr>
        <w:t xml:space="preserve"> that mature scientific reasoning will lead to accurate decision-making regarding environmental issues. Compared to the research by </w:t>
      </w:r>
      <w:r w:rsidRPr="00504F88">
        <w:rPr>
          <w:rFonts w:cstheme="majorBidi"/>
          <w:szCs w:val="24"/>
        </w:rPr>
        <w:fldChar w:fldCharType="begin" w:fldLock="1"/>
      </w:r>
      <w:r w:rsidRPr="00504F88">
        <w:rPr>
          <w:rFonts w:cstheme="majorBidi"/>
          <w:szCs w:val="24"/>
        </w:rPr>
        <w:instrText>ADDIN CSL_CITATION {"citationItems":[{"id":"ITEM-1","itemData":{"author":[{"dropping-particle":"","family":"Aprilianti","given":"Atilla Nur Melania","non-dropping-particle":"","parse-names":false,"suffix":""}],"id":"ITEM-1","issue":"1","issued":{"date-parts":[["2023"]]},"page":"46-62","title":"PENGARUH IMPLEMENTASI PROGRAM ADIWIYATA TERHADAP LITERASI LINGKUNGAN PESERTA DIDIK SMA NEGERI 10 YOGYAKARTA","type":"article-journal","volume":"9"},"uris":["http://www.mendeley.com/documents/?uuid=56027fc6-65d0-40ce-be89-85ae685a5770"]}],"mendeley":{"formattedCitation":"(Aprilianti, 2023)","plainTextFormattedCitation":"(Aprilianti, 2023)","previouslyFormattedCitation":"(Aprilianti, 2023)"},"properties":{"noteIndex":0},"schema":"https://github.com/citation-style-language/schema/raw/master/csl-citation.json"}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(Aprilianti, 2023)</w:t>
      </w:r>
      <w:r w:rsidRPr="00504F88">
        <w:rPr>
          <w:rFonts w:cstheme="majorBidi"/>
          <w:szCs w:val="24"/>
        </w:rPr>
        <w:fldChar w:fldCharType="end"/>
      </w:r>
      <w:r w:rsidRPr="00504F88">
        <w:rPr>
          <w:rFonts w:cstheme="majorBidi"/>
          <w:szCs w:val="24"/>
        </w:rPr>
        <w:t>, which used the PLS-SEM model, this study shows that students' ecological competence does not grow from habit, but depends on their conceptual understanding of systemic ecosystems.</w:t>
      </w:r>
    </w:p>
    <w:p w14:paraId="71914757" w14:textId="77777777" w:rsidR="005D7C7A" w:rsidRDefault="005D7C7A" w:rsidP="007A77A1">
      <w:pPr>
        <w:ind w:firstLine="0"/>
        <w:rPr>
          <w:rFonts w:cstheme="majorBidi"/>
          <w:b/>
          <w:bCs/>
          <w:sz w:val="20"/>
          <w:szCs w:val="20"/>
        </w:rPr>
      </w:pPr>
    </w:p>
    <w:p w14:paraId="34A12FE6" w14:textId="77777777" w:rsidR="005D7C7A" w:rsidRDefault="005D7C7A" w:rsidP="00504F88">
      <w:pPr>
        <w:jc w:val="center"/>
        <w:rPr>
          <w:rFonts w:cstheme="majorBidi"/>
          <w:b/>
          <w:bCs/>
          <w:sz w:val="20"/>
          <w:szCs w:val="20"/>
        </w:rPr>
      </w:pPr>
    </w:p>
    <w:p w14:paraId="65FA7B1F" w14:textId="6D6AC8AB" w:rsidR="00504F88" w:rsidRPr="00504F88" w:rsidRDefault="00504F88" w:rsidP="00504F88">
      <w:pPr>
        <w:jc w:val="center"/>
        <w:rPr>
          <w:rFonts w:cstheme="majorBidi"/>
          <w:sz w:val="20"/>
          <w:szCs w:val="20"/>
        </w:rPr>
      </w:pPr>
      <w:r w:rsidRPr="00504F88">
        <w:rPr>
          <w:rFonts w:cstheme="majorBidi"/>
          <w:b/>
          <w:bCs/>
          <w:sz w:val="20"/>
          <w:szCs w:val="20"/>
        </w:rPr>
        <w:t>Table 2:</w:t>
      </w:r>
      <w:r w:rsidRPr="00504F88">
        <w:rPr>
          <w:rFonts w:cstheme="majorBidi"/>
          <w:sz w:val="20"/>
          <w:szCs w:val="20"/>
        </w:rPr>
        <w:t xml:space="preserve"> Construct Reliability and Validity Table</w:t>
      </w:r>
    </w:p>
    <w:tbl>
      <w:tblPr>
        <w:tblStyle w:val="GridTable1Light-Accent3"/>
        <w:tblW w:w="2998"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2"/>
        <w:gridCol w:w="1192"/>
        <w:gridCol w:w="1286"/>
        <w:gridCol w:w="1284"/>
        <w:gridCol w:w="1249"/>
      </w:tblGrid>
      <w:tr w:rsidR="00504F88" w:rsidRPr="00504F88" w14:paraId="6660556D" w14:textId="77777777" w:rsidTr="00557CCE">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55523884" w14:textId="77777777" w:rsidR="00504F88" w:rsidRPr="00504F88" w:rsidRDefault="00504F88" w:rsidP="00504F88">
            <w:pPr>
              <w:rPr>
                <w:rFonts w:eastAsia="Times New Roman" w:cstheme="majorBidi"/>
                <w:sz w:val="20"/>
                <w:szCs w:val="20"/>
                <w:lang w:eastAsia="en-ID"/>
              </w:rPr>
            </w:pPr>
            <w:bookmarkStart w:id="2" w:name="_Hlk218017742"/>
          </w:p>
        </w:tc>
        <w:tc>
          <w:tcPr>
            <w:tcW w:w="0" w:type="auto"/>
            <w:tcBorders>
              <w:bottom w:val="none" w:sz="0" w:space="0" w:color="auto"/>
            </w:tcBorders>
            <w:hideMark/>
          </w:tcPr>
          <w:p w14:paraId="4E4F1225" w14:textId="77777777" w:rsidR="00504F88" w:rsidRPr="00504F88" w:rsidRDefault="00504F88" w:rsidP="00504F88">
            <w:pPr>
              <w:jc w:val="right"/>
              <w:cnfStyle w:val="100000000000" w:firstRow="1" w:lastRow="0" w:firstColumn="0" w:lastColumn="0" w:oddVBand="0" w:evenVBand="0" w:oddHBand="0" w:evenHBand="0" w:firstRowFirstColumn="0" w:firstRowLastColumn="0" w:lastRowFirstColumn="0" w:lastRowLastColumn="0"/>
              <w:rPr>
                <w:rFonts w:eastAsia="Times New Roman" w:cstheme="majorBidi"/>
                <w:b w:val="0"/>
                <w:bCs w:val="0"/>
                <w:sz w:val="20"/>
                <w:szCs w:val="20"/>
                <w:lang w:eastAsia="en-ID"/>
              </w:rPr>
            </w:pPr>
            <w:r w:rsidRPr="00504F88">
              <w:rPr>
                <w:rFonts w:eastAsia="Times New Roman" w:cstheme="majorBidi"/>
                <w:sz w:val="20"/>
                <w:szCs w:val="20"/>
                <w:lang w:eastAsia="en-ID"/>
              </w:rPr>
              <w:t xml:space="preserve">Cronbach's alpha </w:t>
            </w:r>
          </w:p>
        </w:tc>
        <w:tc>
          <w:tcPr>
            <w:tcW w:w="0" w:type="auto"/>
            <w:tcBorders>
              <w:bottom w:val="none" w:sz="0" w:space="0" w:color="auto"/>
            </w:tcBorders>
            <w:hideMark/>
          </w:tcPr>
          <w:p w14:paraId="4A77E863" w14:textId="77777777" w:rsidR="00504F88" w:rsidRPr="00504F88" w:rsidRDefault="00504F88" w:rsidP="00504F88">
            <w:pPr>
              <w:jc w:val="right"/>
              <w:cnfStyle w:val="100000000000" w:firstRow="1" w:lastRow="0" w:firstColumn="0" w:lastColumn="0" w:oddVBand="0" w:evenVBand="0" w:oddHBand="0" w:evenHBand="0" w:firstRowFirstColumn="0" w:firstRowLastColumn="0" w:lastRowFirstColumn="0" w:lastRowLastColumn="0"/>
              <w:rPr>
                <w:rFonts w:eastAsia="Times New Roman" w:cstheme="majorBidi"/>
                <w:b w:val="0"/>
                <w:bCs w:val="0"/>
                <w:sz w:val="20"/>
                <w:szCs w:val="20"/>
                <w:lang w:eastAsia="en-ID"/>
              </w:rPr>
            </w:pPr>
            <w:r w:rsidRPr="00504F88">
              <w:rPr>
                <w:rFonts w:eastAsia="Times New Roman" w:cstheme="majorBidi"/>
                <w:sz w:val="20"/>
                <w:szCs w:val="20"/>
                <w:lang w:eastAsia="en-ID"/>
              </w:rPr>
              <w:t>Composite reliability (</w:t>
            </w:r>
            <w:proofErr w:type="spellStart"/>
            <w:r w:rsidRPr="00504F88">
              <w:rPr>
                <w:rFonts w:eastAsia="Times New Roman" w:cstheme="majorBidi"/>
                <w:sz w:val="20"/>
                <w:szCs w:val="20"/>
                <w:lang w:eastAsia="en-ID"/>
              </w:rPr>
              <w:t>rho_a</w:t>
            </w:r>
            <w:proofErr w:type="spellEnd"/>
            <w:r w:rsidRPr="00504F88">
              <w:rPr>
                <w:rFonts w:eastAsia="Times New Roman" w:cstheme="majorBidi"/>
                <w:sz w:val="20"/>
                <w:szCs w:val="20"/>
                <w:lang w:eastAsia="en-ID"/>
              </w:rPr>
              <w:t xml:space="preserve">) </w:t>
            </w:r>
          </w:p>
        </w:tc>
        <w:tc>
          <w:tcPr>
            <w:tcW w:w="0" w:type="auto"/>
            <w:tcBorders>
              <w:bottom w:val="none" w:sz="0" w:space="0" w:color="auto"/>
            </w:tcBorders>
            <w:hideMark/>
          </w:tcPr>
          <w:p w14:paraId="751AFAB9" w14:textId="77777777" w:rsidR="00504F88" w:rsidRPr="00504F88" w:rsidRDefault="00504F88" w:rsidP="00504F88">
            <w:pPr>
              <w:jc w:val="right"/>
              <w:cnfStyle w:val="100000000000" w:firstRow="1" w:lastRow="0" w:firstColumn="0" w:lastColumn="0" w:oddVBand="0" w:evenVBand="0" w:oddHBand="0" w:evenHBand="0" w:firstRowFirstColumn="0" w:firstRowLastColumn="0" w:lastRowFirstColumn="0" w:lastRowLastColumn="0"/>
              <w:rPr>
                <w:rFonts w:eastAsia="Times New Roman" w:cstheme="majorBidi"/>
                <w:b w:val="0"/>
                <w:bCs w:val="0"/>
                <w:sz w:val="20"/>
                <w:szCs w:val="20"/>
                <w:lang w:eastAsia="en-ID"/>
              </w:rPr>
            </w:pPr>
            <w:r w:rsidRPr="00504F88">
              <w:rPr>
                <w:rFonts w:eastAsia="Times New Roman" w:cstheme="majorBidi"/>
                <w:sz w:val="20"/>
                <w:szCs w:val="20"/>
                <w:lang w:eastAsia="en-ID"/>
              </w:rPr>
              <w:t>Composite reliability (</w:t>
            </w:r>
            <w:proofErr w:type="spellStart"/>
            <w:r w:rsidRPr="00504F88">
              <w:rPr>
                <w:rFonts w:eastAsia="Times New Roman" w:cstheme="majorBidi"/>
                <w:sz w:val="20"/>
                <w:szCs w:val="20"/>
                <w:lang w:eastAsia="en-ID"/>
              </w:rPr>
              <w:t>rho_c</w:t>
            </w:r>
            <w:proofErr w:type="spellEnd"/>
            <w:r w:rsidRPr="00504F88">
              <w:rPr>
                <w:rFonts w:eastAsia="Times New Roman" w:cstheme="majorBidi"/>
                <w:sz w:val="20"/>
                <w:szCs w:val="20"/>
                <w:lang w:eastAsia="en-ID"/>
              </w:rPr>
              <w:t xml:space="preserve">) </w:t>
            </w:r>
          </w:p>
        </w:tc>
        <w:tc>
          <w:tcPr>
            <w:tcW w:w="0" w:type="auto"/>
            <w:tcBorders>
              <w:bottom w:val="none" w:sz="0" w:space="0" w:color="auto"/>
            </w:tcBorders>
            <w:hideMark/>
          </w:tcPr>
          <w:p w14:paraId="27118677" w14:textId="77777777" w:rsidR="00504F88" w:rsidRPr="00504F88" w:rsidRDefault="00504F88" w:rsidP="00504F88">
            <w:pPr>
              <w:jc w:val="right"/>
              <w:cnfStyle w:val="100000000000" w:firstRow="1" w:lastRow="0" w:firstColumn="0" w:lastColumn="0" w:oddVBand="0" w:evenVBand="0" w:oddHBand="0" w:evenHBand="0" w:firstRowFirstColumn="0" w:firstRowLastColumn="0" w:lastRowFirstColumn="0" w:lastRowLastColumn="0"/>
              <w:rPr>
                <w:rFonts w:eastAsia="Times New Roman" w:cstheme="majorBidi"/>
                <w:b w:val="0"/>
                <w:bCs w:val="0"/>
                <w:sz w:val="20"/>
                <w:szCs w:val="20"/>
                <w:lang w:eastAsia="en-ID"/>
              </w:rPr>
            </w:pPr>
            <w:r w:rsidRPr="00504F88">
              <w:rPr>
                <w:rFonts w:eastAsia="Times New Roman" w:cstheme="majorBidi"/>
                <w:sz w:val="20"/>
                <w:szCs w:val="20"/>
                <w:lang w:eastAsia="en-ID"/>
              </w:rPr>
              <w:t xml:space="preserve">Average variance extracted (AVE) </w:t>
            </w:r>
          </w:p>
        </w:tc>
      </w:tr>
      <w:tr w:rsidR="00504F88" w:rsidRPr="00504F88" w14:paraId="1EF02F40" w14:textId="77777777" w:rsidTr="00557CCE">
        <w:trPr>
          <w:trHeight w:val="19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BA1A68" w14:textId="77777777" w:rsidR="00504F88" w:rsidRPr="00504F88" w:rsidRDefault="00504F88" w:rsidP="00504F88">
            <w:pPr>
              <w:rPr>
                <w:rFonts w:eastAsia="Times New Roman" w:cstheme="majorBidi"/>
                <w:b w:val="0"/>
                <w:bCs w:val="0"/>
                <w:sz w:val="20"/>
                <w:szCs w:val="20"/>
                <w:lang w:eastAsia="en-ID"/>
              </w:rPr>
            </w:pPr>
            <w:r w:rsidRPr="00504F88">
              <w:rPr>
                <w:rFonts w:eastAsia="Times New Roman" w:cstheme="majorBidi"/>
                <w:sz w:val="20"/>
                <w:szCs w:val="20"/>
                <w:lang w:eastAsia="en-ID"/>
              </w:rPr>
              <w:t xml:space="preserve">X </w:t>
            </w:r>
          </w:p>
        </w:tc>
        <w:tc>
          <w:tcPr>
            <w:tcW w:w="0" w:type="auto"/>
            <w:hideMark/>
          </w:tcPr>
          <w:p w14:paraId="3693B929"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0.863 </w:t>
            </w:r>
          </w:p>
        </w:tc>
        <w:tc>
          <w:tcPr>
            <w:tcW w:w="0" w:type="auto"/>
            <w:hideMark/>
          </w:tcPr>
          <w:p w14:paraId="5C332845"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0.874 </w:t>
            </w:r>
          </w:p>
        </w:tc>
        <w:tc>
          <w:tcPr>
            <w:tcW w:w="0" w:type="auto"/>
            <w:hideMark/>
          </w:tcPr>
          <w:p w14:paraId="319CB8C2"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0.916 </w:t>
            </w:r>
          </w:p>
        </w:tc>
        <w:tc>
          <w:tcPr>
            <w:tcW w:w="0" w:type="auto"/>
            <w:hideMark/>
          </w:tcPr>
          <w:p w14:paraId="6468AE36"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0.786 </w:t>
            </w:r>
          </w:p>
        </w:tc>
      </w:tr>
      <w:tr w:rsidR="00504F88" w:rsidRPr="00504F88" w14:paraId="7F1FBCD3" w14:textId="77777777" w:rsidTr="00557CCE">
        <w:trPr>
          <w:trHeight w:val="19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5177B9" w14:textId="77777777" w:rsidR="00504F88" w:rsidRPr="00504F88" w:rsidRDefault="00504F88" w:rsidP="00504F88">
            <w:pPr>
              <w:rPr>
                <w:rFonts w:eastAsia="Times New Roman" w:cstheme="majorBidi"/>
                <w:b w:val="0"/>
                <w:bCs w:val="0"/>
                <w:sz w:val="20"/>
                <w:szCs w:val="20"/>
                <w:lang w:eastAsia="en-ID"/>
              </w:rPr>
            </w:pPr>
            <w:r w:rsidRPr="00504F88">
              <w:rPr>
                <w:rFonts w:eastAsia="Times New Roman" w:cstheme="majorBidi"/>
                <w:sz w:val="20"/>
                <w:szCs w:val="20"/>
                <w:lang w:eastAsia="en-ID"/>
              </w:rPr>
              <w:t xml:space="preserve">Y1 </w:t>
            </w:r>
          </w:p>
        </w:tc>
        <w:tc>
          <w:tcPr>
            <w:tcW w:w="0" w:type="auto"/>
            <w:hideMark/>
          </w:tcPr>
          <w:p w14:paraId="736AED5D"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0.831 </w:t>
            </w:r>
          </w:p>
        </w:tc>
        <w:tc>
          <w:tcPr>
            <w:tcW w:w="0" w:type="auto"/>
            <w:hideMark/>
          </w:tcPr>
          <w:p w14:paraId="6820FE0C"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0.841 </w:t>
            </w:r>
          </w:p>
        </w:tc>
        <w:tc>
          <w:tcPr>
            <w:tcW w:w="0" w:type="auto"/>
            <w:hideMark/>
          </w:tcPr>
          <w:p w14:paraId="54BEF68A"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0.887 </w:t>
            </w:r>
          </w:p>
        </w:tc>
        <w:tc>
          <w:tcPr>
            <w:tcW w:w="0" w:type="auto"/>
            <w:hideMark/>
          </w:tcPr>
          <w:p w14:paraId="3D04E05A"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0.663 </w:t>
            </w:r>
          </w:p>
        </w:tc>
      </w:tr>
      <w:tr w:rsidR="00504F88" w:rsidRPr="00504F88" w14:paraId="4EC5378A" w14:textId="77777777" w:rsidTr="00557CCE">
        <w:trPr>
          <w:trHeight w:val="19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9BEC93" w14:textId="77777777" w:rsidR="00504F88" w:rsidRPr="00504F88" w:rsidRDefault="00504F88" w:rsidP="00504F88">
            <w:pPr>
              <w:rPr>
                <w:rFonts w:eastAsia="Times New Roman" w:cstheme="majorBidi"/>
                <w:b w:val="0"/>
                <w:bCs w:val="0"/>
                <w:sz w:val="20"/>
                <w:szCs w:val="20"/>
                <w:lang w:eastAsia="en-ID"/>
              </w:rPr>
            </w:pPr>
            <w:r w:rsidRPr="00504F88">
              <w:rPr>
                <w:rFonts w:eastAsia="Times New Roman" w:cstheme="majorBidi"/>
                <w:sz w:val="20"/>
                <w:szCs w:val="20"/>
                <w:lang w:eastAsia="en-ID"/>
              </w:rPr>
              <w:t xml:space="preserve">Y2 </w:t>
            </w:r>
          </w:p>
        </w:tc>
        <w:tc>
          <w:tcPr>
            <w:tcW w:w="0" w:type="auto"/>
            <w:hideMark/>
          </w:tcPr>
          <w:p w14:paraId="1BCFC269"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0.941 </w:t>
            </w:r>
          </w:p>
        </w:tc>
        <w:tc>
          <w:tcPr>
            <w:tcW w:w="0" w:type="auto"/>
            <w:hideMark/>
          </w:tcPr>
          <w:p w14:paraId="0C61E521"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0.945 </w:t>
            </w:r>
          </w:p>
        </w:tc>
        <w:tc>
          <w:tcPr>
            <w:tcW w:w="0" w:type="auto"/>
            <w:hideMark/>
          </w:tcPr>
          <w:p w14:paraId="229FD232"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0.958 </w:t>
            </w:r>
          </w:p>
        </w:tc>
        <w:tc>
          <w:tcPr>
            <w:tcW w:w="0" w:type="auto"/>
            <w:hideMark/>
          </w:tcPr>
          <w:p w14:paraId="684F8C46" w14:textId="77777777" w:rsidR="00504F88" w:rsidRPr="00504F88" w:rsidRDefault="00504F88" w:rsidP="00504F88">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color w:val="006400"/>
                <w:sz w:val="20"/>
                <w:szCs w:val="20"/>
                <w:lang w:eastAsia="en-ID"/>
              </w:rPr>
            </w:pPr>
            <w:r w:rsidRPr="00504F88">
              <w:rPr>
                <w:rFonts w:eastAsia="Times New Roman" w:cstheme="majorBidi"/>
                <w:color w:val="006400"/>
                <w:sz w:val="20"/>
                <w:szCs w:val="20"/>
                <w:lang w:eastAsia="en-ID"/>
              </w:rPr>
              <w:t xml:space="preserve">0.850 </w:t>
            </w:r>
          </w:p>
        </w:tc>
      </w:tr>
    </w:tbl>
    <w:bookmarkEnd w:id="2"/>
    <w:p w14:paraId="7EF0885D" w14:textId="77777777" w:rsidR="00504F88" w:rsidRPr="00504F88" w:rsidRDefault="00504F88" w:rsidP="00504F88">
      <w:pPr>
        <w:jc w:val="both"/>
        <w:rPr>
          <w:rFonts w:cstheme="majorBidi"/>
          <w:szCs w:val="24"/>
        </w:rPr>
      </w:pPr>
      <w:r w:rsidRPr="00504F88">
        <w:rPr>
          <w:rFonts w:cstheme="majorBidi"/>
          <w:szCs w:val="24"/>
        </w:rPr>
        <w:tab/>
      </w:r>
    </w:p>
    <w:p w14:paraId="6CAC52D1" w14:textId="77777777" w:rsidR="00504F88" w:rsidRPr="00504F88" w:rsidRDefault="00504F88" w:rsidP="00504F88">
      <w:pPr>
        <w:jc w:val="both"/>
        <w:rPr>
          <w:rFonts w:cstheme="majorBidi"/>
          <w:szCs w:val="24"/>
        </w:rPr>
      </w:pPr>
      <w:r w:rsidRPr="00504F88">
        <w:rPr>
          <w:rFonts w:cstheme="majorBidi"/>
          <w:szCs w:val="24"/>
        </w:rPr>
        <w:tab/>
        <w:t xml:space="preserve">Based on the results of hypothesis testing (Inner Model) through bootstrapping in Table 1, variable X has a path coefficient of 0.900 with a T-statistic value of 23.043 (&gt; 1.96) and a P-value of 0.000 (&lt; 0.05) on variable Y1. This indicates that understanding the concept of sustainable development has a significant effect on pro-environmental behavior. This is in line with the research procedure conducted by </w:t>
      </w:r>
      <w:proofErr w:type="spellStart"/>
      <w:r w:rsidRPr="00504F88">
        <w:rPr>
          <w:rFonts w:cstheme="majorBidi"/>
          <w:szCs w:val="24"/>
        </w:rPr>
        <w:t>Sutrisno</w:t>
      </w:r>
      <w:proofErr w:type="spellEnd"/>
      <w:r w:rsidRPr="00504F88">
        <w:rPr>
          <w:rFonts w:cstheme="majorBidi"/>
          <w:szCs w:val="24"/>
        </w:rPr>
        <w:t xml:space="preserve">, Siregar, Putra, and Akmal (2024) on “Construct Analysis of AMDA Model Syntax Using the SEM-PLS Method” which found that SEM-PLS is effective for measuring the causal relationship between learning model syntax and student learning outcomes or competencies </w:t>
      </w:r>
      <w:r w:rsidRPr="00504F88">
        <w:rPr>
          <w:rFonts w:cstheme="majorBidi"/>
          <w:szCs w:val="24"/>
        </w:rPr>
        <w:fldChar w:fldCharType="begin" w:fldLock="1"/>
      </w:r>
      <w:r w:rsidRPr="00504F88">
        <w:rPr>
          <w:rFonts w:cstheme="majorBidi"/>
          <w:szCs w:val="24"/>
        </w:rPr>
        <w:instrText>ADDIN CSL_CITATION {"citationItems":[{"id":"ITEM-1","itemData":{"DOI":"10.29303/jppipa.v10i10.9041","author":[{"dropping-particle":"","family":"Siregar","given":"Batumahadi","non-dropping-particle":"","parse-names":false,"suffix":""},{"dropping-particle":"","family":"Putra","given":"Riansyah","non-dropping-particle":"","parse-names":false,"suffix":""},{"dropping-particle":"","family":"Akmal","given":"Nikmat","non-dropping-particle":"","parse-names":false,"suffix":""}],"id":"ITEM-1","issue":"10","issued":{"date-parts":[["2024"]]},"page":"8219-8226","title":"Construct Analysis of AMDA Model Syntax Using the Structural Equation Modeling-Partial Least Square ( SEM-PLS ) Method","type":"article-journal","volume":"10"},"uris":["http://www.mendeley.com/documents/?uuid=7e0faf8b-dbfd-400d-8895-867d63a4178d"]}],"mendeley":{"formattedCitation":"(Siregar et al., 2024)","plainTextFormattedCitation":"(Siregar et al., 2024)","previouslyFormattedCitation":"(Siregar et al., 2024)"},"properties":{"noteIndex":0},"schema":"https://github.com/citation-style-language/schema/raw/master/csl-citation.json"}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(Siregar et al., 2024)</w:t>
      </w:r>
      <w:r w:rsidRPr="00504F88">
        <w:rPr>
          <w:rFonts w:cstheme="majorBidi"/>
          <w:szCs w:val="24"/>
        </w:rPr>
        <w:fldChar w:fldCharType="end"/>
      </w:r>
      <w:r w:rsidRPr="00504F88">
        <w:rPr>
          <w:rFonts w:cstheme="majorBidi"/>
          <w:szCs w:val="24"/>
        </w:rPr>
        <w:t xml:space="preserve">. The coefficient value of 0.900 indicates a very strong relationship. This indicates that the level of student understanding will be followed by a noticeable increase in behavior. In this context, students know that littering plastic waste can damage the soil ecosystem in the long term, so the actual behavior of students is to separate organic and inorganic waste when disposing of waste in the school environment. This is in line with the theory that knowledge or understanding is the most important domain in shaping a person's overt behavior </w:t>
      </w:r>
      <w:r w:rsidRPr="00504F88">
        <w:rPr>
          <w:rFonts w:cstheme="majorBidi"/>
          <w:szCs w:val="24"/>
        </w:rPr>
        <w:fldChar w:fldCharType="begin" w:fldLock="1"/>
      </w:r>
      <w:r w:rsidRPr="00504F88">
        <w:rPr>
          <w:rFonts w:cstheme="majorBidi"/>
          <w:szCs w:val="24"/>
        </w:rPr>
        <w:instrText>ADDIN CSL_CITATION {"citationItems":[{"id":"ITEM-1","itemData":{"ISBN":"9789373473659","author":[{"dropping-particle":"","family":"Alfajri","given":"A","non-dropping-particle":"","parse-names":false,"suffix":""},{"dropping-particle":"","family":"Experts","given":"E G P","non-dropping-particle":"","parse-names":false,"suffix":""},{"dropping-particle":"","family":"Community","given":"E G","non-dropping-particle":"","parse-names":false,"suffix":""}],"id":"ITEM-1","issued":{"date-parts":[["2025"]]},"publisher":"EduGorilla Community Pvt. Ltd.","title":"Modern Sociological Theory: [ Teori Sosiologi Modern ]","type":"book"},"uris":["http://www.mendeley.com/documents/?uuid=3fa74e2d-ceb4-4fbe-8b5f-c7bf11597eb2"]}],"mendeley":{"formattedCitation":"(Alfajri et al., 2025)","plainTextFormattedCitation":"(Alfajri et al., 2025)","previouslyFormattedCitation":"(Alfajri et al., 2025)"},"properties":{"noteIndex":0},"schema":"https://github.com/citation-style-language/schema/raw/master/csl-citation.json"}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(Alfajri et al., 2025)</w:t>
      </w:r>
      <w:r w:rsidRPr="00504F88">
        <w:rPr>
          <w:rFonts w:cstheme="majorBidi"/>
          <w:szCs w:val="24"/>
        </w:rPr>
        <w:fldChar w:fldCharType="end"/>
      </w:r>
      <w:r w:rsidRPr="00504F88">
        <w:rPr>
          <w:rFonts w:cstheme="majorBidi"/>
          <w:szCs w:val="24"/>
        </w:rPr>
        <w:t>.</w:t>
      </w:r>
      <w:r w:rsidRPr="00504F88">
        <w:rPr>
          <w:rFonts w:cstheme="majorBidi"/>
          <w:szCs w:val="24"/>
        </w:rPr>
        <w:tab/>
      </w:r>
    </w:p>
    <w:p w14:paraId="29F1FFA8" w14:textId="77777777" w:rsidR="00504F88" w:rsidRPr="00504F88" w:rsidRDefault="00504F88" w:rsidP="00504F88">
      <w:pPr>
        <w:ind w:firstLine="720"/>
        <w:jc w:val="both"/>
        <w:rPr>
          <w:rFonts w:cstheme="majorBidi"/>
          <w:szCs w:val="24"/>
        </w:rPr>
      </w:pPr>
      <w:r w:rsidRPr="00504F88">
        <w:rPr>
          <w:rFonts w:cstheme="majorBidi"/>
          <w:szCs w:val="24"/>
        </w:rPr>
        <w:t>The results of the analysis of Variable X on variable Y2 have a path coefficient value of 0.820 with a T-statistic value of 10.313 (&gt; 1.96) and a P-Value of 0.000 (&lt; 0.05). This shows that understanding the concept of sustainable development has a significant effect on students' ecological competence.</w:t>
      </w:r>
    </w:p>
    <w:p w14:paraId="43E9A0E1" w14:textId="77777777" w:rsidR="00504F88" w:rsidRPr="00504F88" w:rsidRDefault="00504F88" w:rsidP="00504F88">
      <w:pPr>
        <w:ind w:firstLine="720"/>
        <w:jc w:val="both"/>
        <w:rPr>
          <w:rFonts w:cstheme="majorBidi"/>
          <w:szCs w:val="24"/>
        </w:rPr>
      </w:pPr>
      <w:r w:rsidRPr="00504F88">
        <w:rPr>
          <w:rFonts w:cstheme="majorBidi"/>
          <w:szCs w:val="24"/>
        </w:rPr>
        <w:t>Based on the analysis results, the pro-environmental behavior variable (Y</w:t>
      </w:r>
      <w:r w:rsidRPr="00504F88">
        <w:rPr>
          <w:rFonts w:cstheme="majorBidi"/>
          <w:szCs w:val="24"/>
          <w:vertAlign w:val="subscript"/>
        </w:rPr>
        <w:t>1</w:t>
      </w:r>
      <w:r w:rsidRPr="00504F88">
        <w:rPr>
          <w:rFonts w:cstheme="majorBidi"/>
          <w:szCs w:val="24"/>
        </w:rPr>
        <w:t xml:space="preserve">) has an R-square value of 0.780, which is classified as strong. This shows that the variable of understanding the concept of sustainable development (X) plays a dominant role of 78% in shaping the actual actions of MA Al-Islam </w:t>
      </w:r>
      <w:proofErr w:type="spellStart"/>
      <w:r w:rsidRPr="00504F88">
        <w:rPr>
          <w:rFonts w:cstheme="majorBidi"/>
          <w:szCs w:val="24"/>
        </w:rPr>
        <w:t>Joresan</w:t>
      </w:r>
      <w:proofErr w:type="spellEnd"/>
      <w:r w:rsidRPr="00504F88">
        <w:rPr>
          <w:rFonts w:cstheme="majorBidi"/>
          <w:szCs w:val="24"/>
        </w:rPr>
        <w:t xml:space="preserve"> students. This is reinforced by research conducted by </w:t>
      </w:r>
      <w:r w:rsidRPr="00504F88">
        <w:rPr>
          <w:rFonts w:cstheme="majorBidi"/>
          <w:szCs w:val="24"/>
        </w:rPr>
        <w:fldChar w:fldCharType="begin" w:fldLock="1"/>
      </w:r>
      <w:r w:rsidRPr="00504F88">
        <w:rPr>
          <w:rFonts w:cstheme="majorBidi"/>
          <w:szCs w:val="24"/>
        </w:rPr>
        <w:instrText>ADDIN CSL_CITATION {"citationItems":[{"id":"ITEM-1","itemData":{"DOI":"10.29303/jppipa.v11i11.13403","author":[{"dropping-particle":"","family":"Saputra","given":"Harmedi Yulian","non-dropping-particle":"","parse-names":false,"suffix":""},{"dropping-particle":"","family":"Syah","given":"Nurhasan","non-dropping-particle":"","parse-names":false,"suffix":""},{"dropping-particle":"","family":"Azhar","given":"Aulia","non-dropping-particle":"","parse-names":false,"suffix":""},{"dropping-particle":"","family":"Wilis","given":"Ratna","non-dropping-particle":"","parse-names":false,"suffix":""}],"id":"ITEM-1","issue":"11","issued":{"date-parts":[["2025"]]},"page":"1157-1165","title":"Environmental Attitudes of Junior High School Students in Relation to the Implementation of the GPBLHS Program","type":"article-journal","volume":"11"},"uris":["http://www.mendeley.com/documents/?uuid=7c35b325-14df-4d44-800c-88ff9752687c"]}],"mendeley":{"formattedCitation":"(Saputra et al., 2025)","plainTextFormattedCitation":"(Saputra et al., 2025)","previouslyFormattedCitation":"(Saputra et al., 2025)"},"properties":{"noteIndex":0},"schema":"https://github.com/citation-style-language/schema/raw/master/csl-citation.json"}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(Saputra et al., 2025)</w:t>
      </w:r>
      <w:r w:rsidRPr="00504F88">
        <w:rPr>
          <w:rFonts w:cstheme="majorBidi"/>
          <w:szCs w:val="24"/>
        </w:rPr>
        <w:fldChar w:fldCharType="end"/>
      </w:r>
      <w:r w:rsidRPr="00504F88">
        <w:rPr>
          <w:rFonts w:cstheme="majorBidi"/>
          <w:szCs w:val="24"/>
        </w:rPr>
        <w:t xml:space="preserve"> that students' pro-environmental attitudes and behaviors do not grow instantly but are the implementation of a structured environmental program at school, namely GPBLHS. At MA Al-Islam </w:t>
      </w:r>
      <w:proofErr w:type="spellStart"/>
      <w:r w:rsidRPr="00504F88">
        <w:rPr>
          <w:rFonts w:cstheme="majorBidi"/>
          <w:szCs w:val="24"/>
        </w:rPr>
        <w:t>Joresan</w:t>
      </w:r>
      <w:proofErr w:type="spellEnd"/>
      <w:r w:rsidRPr="00504F88">
        <w:rPr>
          <w:rFonts w:cstheme="majorBidi"/>
          <w:szCs w:val="24"/>
        </w:rPr>
        <w:t>, the P2RA (</w:t>
      </w:r>
      <w:proofErr w:type="spellStart"/>
      <w:r w:rsidRPr="00504F88">
        <w:rPr>
          <w:rFonts w:cstheme="majorBidi"/>
          <w:szCs w:val="24"/>
        </w:rPr>
        <w:t>Projek</w:t>
      </w:r>
      <w:proofErr w:type="spellEnd"/>
      <w:r w:rsidRPr="00504F88">
        <w:rPr>
          <w:rFonts w:cstheme="majorBidi"/>
          <w:szCs w:val="24"/>
        </w:rPr>
        <w:t xml:space="preserve"> </w:t>
      </w:r>
      <w:proofErr w:type="spellStart"/>
      <w:r w:rsidRPr="00504F88">
        <w:rPr>
          <w:rFonts w:cstheme="majorBidi"/>
          <w:szCs w:val="24"/>
        </w:rPr>
        <w:t>Penguatan</w:t>
      </w:r>
      <w:proofErr w:type="spellEnd"/>
      <w:r w:rsidRPr="00504F88">
        <w:rPr>
          <w:rFonts w:cstheme="majorBidi"/>
          <w:szCs w:val="24"/>
        </w:rPr>
        <w:t xml:space="preserve"> </w:t>
      </w:r>
      <w:proofErr w:type="spellStart"/>
      <w:r w:rsidRPr="00504F88">
        <w:rPr>
          <w:rFonts w:cstheme="majorBidi"/>
          <w:szCs w:val="24"/>
        </w:rPr>
        <w:t>Profil</w:t>
      </w:r>
      <w:proofErr w:type="spellEnd"/>
      <w:r w:rsidRPr="00504F88">
        <w:rPr>
          <w:rFonts w:cstheme="majorBidi"/>
          <w:szCs w:val="24"/>
        </w:rPr>
        <w:t xml:space="preserve"> </w:t>
      </w:r>
      <w:proofErr w:type="spellStart"/>
      <w:r w:rsidRPr="00504F88">
        <w:rPr>
          <w:rFonts w:cstheme="majorBidi"/>
          <w:szCs w:val="24"/>
        </w:rPr>
        <w:t>Pelajar</w:t>
      </w:r>
      <w:proofErr w:type="spellEnd"/>
      <w:r w:rsidRPr="00504F88">
        <w:rPr>
          <w:rFonts w:cstheme="majorBidi"/>
          <w:szCs w:val="24"/>
        </w:rPr>
        <w:t xml:space="preserve"> </w:t>
      </w:r>
      <w:proofErr w:type="spellStart"/>
      <w:r w:rsidRPr="00504F88">
        <w:rPr>
          <w:rFonts w:cstheme="majorBidi"/>
          <w:szCs w:val="24"/>
        </w:rPr>
        <w:t>Rahmatan</w:t>
      </w:r>
      <w:proofErr w:type="spellEnd"/>
      <w:r w:rsidRPr="00504F88">
        <w:rPr>
          <w:rFonts w:cstheme="majorBidi"/>
          <w:szCs w:val="24"/>
        </w:rPr>
        <w:t xml:space="preserve"> Lil Alamin) program plays a similar role to GPBLHS in creating an ecosystem that supports the transformation of knowledge into concrete actions.</w:t>
      </w:r>
    </w:p>
    <w:p w14:paraId="74CDB133" w14:textId="77777777" w:rsidR="00504F88" w:rsidRPr="00504F88" w:rsidRDefault="00504F88" w:rsidP="00504F88">
      <w:pPr>
        <w:ind w:firstLine="720"/>
        <w:jc w:val="both"/>
        <w:rPr>
          <w:rFonts w:cstheme="majorBidi"/>
          <w:szCs w:val="24"/>
        </w:rPr>
      </w:pPr>
      <w:r w:rsidRPr="00504F88">
        <w:rPr>
          <w:rFonts w:cstheme="majorBidi"/>
          <w:szCs w:val="24"/>
        </w:rPr>
        <w:t xml:space="preserve">The high figure of 78% is influenced by the integration of environmental values into the school curriculum, which is application-oriented.  The remaining 22% is explained by other variables outside the scope of this study. The research results with R² = 0.780 are effective in mapping the interaction of latent variables in the world of education. In addition, the finding that conceptual understanding encourages real action supports the argument </w:t>
      </w:r>
      <w:r w:rsidRPr="00504F88">
        <w:rPr>
          <w:rFonts w:cstheme="majorBidi"/>
          <w:szCs w:val="24"/>
        </w:rPr>
        <w:fldChar w:fldCharType="begin" w:fldLock="1"/>
      </w:r>
      <w:r w:rsidRPr="00504F88">
        <w:rPr>
          <w:rFonts w:cstheme="majorBidi"/>
          <w:szCs w:val="24"/>
        </w:rPr>
        <w:instrText>ADDIN CSL_CITATION {"citationItems":[{"id":"ITEM-1","itemData":{"DOI":"10.15294/jpii.v12i4.43188","author":[{"dropping-particle":"","family":"Mutmainah","given":"O","non-dropping-particle":"","parse-names":false,"suffix":""},{"dropping-particle":"","family":"Norsaputra","given":"A","non-dropping-particle":"","parse-names":false,"suffix":""}],"id":"ITEM-1","issue":"4","issued":{"date-parts":[["2023"]]},"page":"526-537","title":"Jurnal Pendidikan IPA Indonesia IMPROVING CLIMATE LITERACY OF HIGH SCHOOL STUDENTS THROUGH PHYSICS TEACHING MATERIALS BASED ON STEM","type":"article-journal","volume":"12"},"uris":["http://www.mendeley.com/documents/?uuid=a508062e-a011-4c19-8eba-adc5fdbc64f4"]}],"mendeley":{"formattedCitation":"(Mutmainah &amp; Norsaputra, 2023)","plainTextFormattedCitation":"(Mutmainah &amp; Norsaputra, 2023)","previouslyFormattedCitation":"(Mutmainah &amp; Norsaputra, 2023)"},"properties":{"noteIndex":0},"schema":"https://github.com/citation-style-language/schema/raw/master/csl-citation.json"}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(Mutmainah &amp; Norsaputra, 2023)</w:t>
      </w:r>
      <w:r w:rsidRPr="00504F88">
        <w:rPr>
          <w:rFonts w:cstheme="majorBidi"/>
          <w:szCs w:val="24"/>
        </w:rPr>
        <w:fldChar w:fldCharType="end"/>
      </w:r>
      <w:r w:rsidRPr="00504F88">
        <w:rPr>
          <w:rFonts w:cstheme="majorBidi"/>
          <w:szCs w:val="24"/>
        </w:rPr>
        <w:t xml:space="preserve"> regarding the importance of comprehensive literacy in changing students' perspectives on ecosystem issues.</w:t>
      </w:r>
    </w:p>
    <w:p w14:paraId="1213ED16" w14:textId="28367EF6" w:rsidR="00504F88" w:rsidRDefault="00504F88" w:rsidP="00504F88">
      <w:pPr>
        <w:ind w:firstLine="720"/>
        <w:jc w:val="both"/>
        <w:rPr>
          <w:rFonts w:cstheme="majorBidi"/>
          <w:szCs w:val="24"/>
        </w:rPr>
      </w:pPr>
      <w:r w:rsidRPr="00504F88">
        <w:rPr>
          <w:rFonts w:cstheme="majorBidi"/>
          <w:szCs w:val="24"/>
        </w:rPr>
        <w:t>Variable Y2 obtained an R-square value of 0.646, which is in the moderate category. This shows that the variable of understanding the concept of sustainable development (X) is able to explain 64.6% of the variation in the ability variable. Although conceptual understanding contributes significantly (64.6%), there is a gap of 35.4% that is influenced by other factors.</w:t>
      </w:r>
    </w:p>
    <w:p w14:paraId="4DB167DA" w14:textId="17CD4EBD" w:rsidR="007A77A1" w:rsidRPr="00504F88" w:rsidRDefault="007A77A1" w:rsidP="00504F88">
      <w:pPr>
        <w:ind w:firstLine="720"/>
        <w:jc w:val="both"/>
        <w:rPr>
          <w:rFonts w:cstheme="majorBidi"/>
          <w:szCs w:val="24"/>
        </w:rPr>
      </w:pPr>
      <w:r w:rsidRPr="007A77A1">
        <w:rPr>
          <w:rFonts w:cstheme="majorBidi"/>
          <w:szCs w:val="24"/>
        </w:rPr>
        <w:t xml:space="preserve">This study provides a crucial insight that although practical programs such as P2RA at MA Al-Islam </w:t>
      </w:r>
      <w:proofErr w:type="spellStart"/>
      <w:r w:rsidRPr="007A77A1">
        <w:rPr>
          <w:rFonts w:cstheme="majorBidi"/>
          <w:szCs w:val="24"/>
        </w:rPr>
        <w:t>Joresan</w:t>
      </w:r>
      <w:proofErr w:type="spellEnd"/>
      <w:r w:rsidRPr="007A77A1">
        <w:rPr>
          <w:rFonts w:cstheme="majorBidi"/>
          <w:szCs w:val="24"/>
        </w:rPr>
        <w:t xml:space="preserve"> have succeeded in forming students' daily habits, there are major challenges in transforming these habits into systemic ecological competencies. The moderate score on the ecological competency variable (64.6%) indicates that students still tend to perform pro-environmental actions procedurally without a deep understanding of the long-term scientific consequences of these actions. For example, students may routinely separate waste because of school rules, but they may not necessarily be able to chemically analyze how the decomposition of this waste affects the nitrogen cycle or methane emissions in the atmosphere.</w:t>
      </w:r>
    </w:p>
    <w:p w14:paraId="217B2CB3" w14:textId="77777777" w:rsidR="00504F88" w:rsidRPr="00504F88" w:rsidRDefault="00504F88" w:rsidP="00504F88">
      <w:pPr>
        <w:ind w:firstLine="720"/>
        <w:jc w:val="both"/>
        <w:rPr>
          <w:rFonts w:cstheme="majorBidi"/>
          <w:szCs w:val="24"/>
        </w:rPr>
      </w:pPr>
      <w:r w:rsidRPr="00504F88">
        <w:rPr>
          <w:rFonts w:cstheme="majorBidi"/>
          <w:szCs w:val="24"/>
        </w:rPr>
        <w:t xml:space="preserve">To improve systemic (ecological) analysis skills, students need more than just theory; they also need critical thinking skills and more intensive field experience. In line with the research study by Putri, Hidayat, and </w:t>
      </w:r>
      <w:proofErr w:type="spellStart"/>
      <w:r w:rsidRPr="00504F88">
        <w:rPr>
          <w:rFonts w:cstheme="majorBidi"/>
          <w:szCs w:val="24"/>
        </w:rPr>
        <w:t>Supriatno</w:t>
      </w:r>
      <w:proofErr w:type="spellEnd"/>
      <w:r w:rsidRPr="00504F88">
        <w:rPr>
          <w:rFonts w:cstheme="majorBidi"/>
          <w:szCs w:val="24"/>
        </w:rPr>
        <w:t xml:space="preserve"> (2023) on Senior High School Students' Perception of Sustainability Literacy in Biology Learning, it was revealed that although students have a positive perception and basic awareness of sustainability, they often still struggle with more complex and systemic aspects of ecological literacy. This reinforces the findings of the study at MA Al-Islam </w:t>
      </w:r>
      <w:proofErr w:type="spellStart"/>
      <w:r w:rsidRPr="00504F88">
        <w:rPr>
          <w:rFonts w:cstheme="majorBidi"/>
          <w:szCs w:val="24"/>
        </w:rPr>
        <w:t>Joresan</w:t>
      </w:r>
      <w:proofErr w:type="spellEnd"/>
      <w:r w:rsidRPr="00504F88">
        <w:rPr>
          <w:rFonts w:cstheme="majorBidi"/>
          <w:szCs w:val="24"/>
        </w:rPr>
        <w:t xml:space="preserve"> that students find it easier to practice daily habits, but require more intensive pedagogical intervention to master comprehensive ecological reasoning </w:t>
      </w:r>
      <w:r w:rsidRPr="00504F88">
        <w:rPr>
          <w:rFonts w:cstheme="majorBidi"/>
          <w:szCs w:val="24"/>
        </w:rPr>
        <w:fldChar w:fldCharType="begin" w:fldLock="1"/>
      </w:r>
      <w:r w:rsidRPr="00504F88">
        <w:rPr>
          <w:rFonts w:cstheme="majorBidi"/>
          <w:szCs w:val="24"/>
        </w:rPr>
        <w:instrText>ADDIN CSL_CITATION {"citationItems":[{"id":"ITEM-1","itemData":{"DOI":"10.29303/jppipa.v9i7.3705","author":[{"dropping-particle":"","family":"Putri","given":"Adelia Aryani","non-dropping-particle":"","parse-names":false,"suffix":""},{"dropping-particle":"","family":"Hidayat","given":"Topik","non-dropping-particle":"","parse-names":false,"suffix":""},{"dropping-particle":"","family":"Supriatno","given":"Bambang","non-dropping-particle":"","parse-names":false,"suffix":""}],"id":"ITEM-1","issue":"7","issued":{"date-parts":[["2023"]]},"page":"5737-5744","title":"Senior High School Students Perception on Sustainability Literacy in Biology Learning","type":"article-journal","volume":"9"},"uris":["http://www.mendeley.com/documents/?uuid=50fb7e73-d7b6-4791-8740-802feb504c16"]}],"mendeley":{"formattedCitation":"(Putri et al., 2023)","plainTextFormattedCitation":"(Putri et al., 2023)","previouslyFormattedCitation":"(Putri et al., 2023)"},"properties":{"noteIndex":0},"schema":"https://github.com/citation-style-language/schema/raw/master/csl-citation.json"}</w:instrText>
      </w:r>
      <w:r w:rsidRPr="00504F88">
        <w:rPr>
          <w:rFonts w:cstheme="majorBidi"/>
          <w:szCs w:val="24"/>
        </w:rPr>
        <w:fldChar w:fldCharType="separate"/>
      </w:r>
      <w:r w:rsidRPr="00504F88">
        <w:rPr>
          <w:rFonts w:cstheme="majorBidi"/>
          <w:noProof/>
          <w:szCs w:val="24"/>
        </w:rPr>
        <w:t>(Putri et al., 2023)</w:t>
      </w:r>
      <w:r w:rsidRPr="00504F88">
        <w:rPr>
          <w:rFonts w:cstheme="majorBidi"/>
          <w:szCs w:val="24"/>
        </w:rPr>
        <w:fldChar w:fldCharType="end"/>
      </w:r>
      <w:r w:rsidRPr="00504F88">
        <w:rPr>
          <w:rFonts w:cstheme="majorBidi"/>
          <w:szCs w:val="24"/>
        </w:rPr>
        <w:t>.</w:t>
      </w:r>
    </w:p>
    <w:p w14:paraId="0D6EA25A" w14:textId="77777777" w:rsidR="00504F88" w:rsidRPr="00504F88" w:rsidRDefault="00504F88" w:rsidP="00504F88">
      <w:pPr>
        <w:jc w:val="both"/>
        <w:rPr>
          <w:bCs/>
          <w:szCs w:val="24"/>
        </w:rPr>
      </w:pPr>
      <w:r w:rsidRPr="00504F88">
        <w:rPr>
          <w:bCs/>
          <w:szCs w:val="24"/>
        </w:rPr>
        <w:tab/>
        <w:t xml:space="preserve">The analysis results show that the variable of understanding the concept of sustainable development (X) is able to explain 78% of the variation in pro-environmental behavior (Y1). This figure is very high and shows that the knowledge of students at MA Al-Islam </w:t>
      </w:r>
      <w:proofErr w:type="spellStart"/>
      <w:r w:rsidRPr="00504F88">
        <w:rPr>
          <w:bCs/>
          <w:szCs w:val="24"/>
        </w:rPr>
        <w:t>Joresan</w:t>
      </w:r>
      <w:proofErr w:type="spellEnd"/>
      <w:r w:rsidRPr="00504F88">
        <w:rPr>
          <w:bCs/>
          <w:szCs w:val="24"/>
        </w:rPr>
        <w:t xml:space="preserve"> is not only theoretical. In line with the integration of Islamic education and environmental programs, it effectively shapes the sustainable character of students </w:t>
      </w:r>
      <w:r w:rsidRPr="00504F88">
        <w:rPr>
          <w:bCs/>
          <w:szCs w:val="24"/>
        </w:rPr>
        <w:fldChar w:fldCharType="begin" w:fldLock="1"/>
      </w:r>
      <w:r w:rsidRPr="00504F88">
        <w:rPr>
          <w:bCs/>
          <w:szCs w:val="24"/>
        </w:rPr>
        <w:instrText>ADDIN CSL_CITATION {"citationItems":[{"id":"ITEM-1","itemData":{"author":[{"dropping-particle":"","family":"Malik","given":"Abdul","non-dropping-particle":"","parse-names":false,"suffix":""},{"dropping-particle":"","family":"Amrullah","given":"Karim","non-dropping-particle":"","parse-names":false,"suffix":""},{"dropping-particle":"","family":"Murfi","given":"Ali","non-dropping-particle":"","parse-names":false,"suffix":""},{"dropping-particle":"","family":"Fauzi","given":"Ahmad","non-dropping-particle":"","parse-names":false,"suffix":""},{"dropping-particle":"","family":"Basri","given":"Basri","non-dropping-particle":"","parse-names":false,"suffix":""}],"id":"ITEM-1","issue":"3","issued":{"date-parts":[["2025"]]},"page":"3276-3287","title":"Integrating Islamic Education with Environmental Programs : Strategies for Sustainable Character Development at SMAN 2 and 7 Malang Indonesia","type":"article-journal","volume":"30"},"uris":["http://www.mendeley.com/documents/?uuid=8c47596e-a516-4030-a993-3f030fdc547a"]}],"mendeley":{"formattedCitation":"(Malik et al., 2025)","plainTextFormattedCitation":"(Malik et al., 2025)","previouslyFormattedCitation":"(Malik et al., 2025)"},"properties":{"noteIndex":0},"schema":"https://github.com/citation-style-language/schema/raw/master/csl-citation.json"}</w:instrText>
      </w:r>
      <w:r w:rsidRPr="00504F88">
        <w:rPr>
          <w:bCs/>
          <w:szCs w:val="24"/>
        </w:rPr>
        <w:fldChar w:fldCharType="separate"/>
      </w:r>
      <w:r w:rsidRPr="00504F88">
        <w:rPr>
          <w:bCs/>
          <w:noProof/>
          <w:szCs w:val="24"/>
        </w:rPr>
        <w:t>(Malik et al., 2025)</w:t>
      </w:r>
      <w:r w:rsidRPr="00504F88">
        <w:rPr>
          <w:bCs/>
          <w:szCs w:val="24"/>
        </w:rPr>
        <w:fldChar w:fldCharType="end"/>
      </w:r>
      <w:r w:rsidRPr="00504F88">
        <w:rPr>
          <w:bCs/>
          <w:szCs w:val="24"/>
        </w:rPr>
        <w:t>. This is evidenced by the students' concrete actions in separating organic and inorganic waste as a form of soil ecosystem protection. This condition is supported by the application of the Green Islamic School concept and the P2RA program through organic fertilizer processing. In an evaluation study, it was proven to be able to increase the effectiveness of environment-based character education in Islamic schools (</w:t>
      </w:r>
      <w:proofErr w:type="spellStart"/>
      <w:r w:rsidRPr="00504F88">
        <w:rPr>
          <w:bCs/>
          <w:szCs w:val="24"/>
        </w:rPr>
        <w:t>Wahjusaputri</w:t>
      </w:r>
      <w:proofErr w:type="spellEnd"/>
      <w:r w:rsidRPr="00504F88">
        <w:rPr>
          <w:bCs/>
          <w:szCs w:val="24"/>
        </w:rPr>
        <w:t xml:space="preserve"> &amp; </w:t>
      </w:r>
      <w:proofErr w:type="spellStart"/>
      <w:r w:rsidRPr="00504F88">
        <w:rPr>
          <w:bCs/>
          <w:szCs w:val="24"/>
        </w:rPr>
        <w:t>Nazhif</w:t>
      </w:r>
      <w:proofErr w:type="spellEnd"/>
      <w:r w:rsidRPr="00504F88">
        <w:rPr>
          <w:bCs/>
          <w:szCs w:val="24"/>
        </w:rPr>
        <w:t xml:space="preserve">, 2025). This implementation helps students bridge the knowledge-action gap that often becomes an obstacle in environmental education. Through the P2RA program, students' understanding of the Sustainable Development Goals (SDGs) can be strengthened, and they can be influenced by learning media and a supportive school social environment </w:t>
      </w:r>
      <w:r w:rsidRPr="00504F88">
        <w:rPr>
          <w:bCs/>
          <w:szCs w:val="24"/>
        </w:rPr>
        <w:fldChar w:fldCharType="begin" w:fldLock="1"/>
      </w:r>
      <w:r w:rsidRPr="00504F88">
        <w:rPr>
          <w:bCs/>
          <w:szCs w:val="24"/>
        </w:rPr>
        <w:instrText>ADDIN CSL_CITATION {"citationItems":[{"id":"ITEM-1","itemData":{"author":[{"dropping-particle":"","family":"Baga","given":"Sisean","non-dropping-particle":"","parse-names":false,"suffix":""},{"dropping-particle":"","family":"Astuty","given":"Esthy Reko","non-dropping-particle":"","parse-names":false,"suffix":""},{"dropping-particle":"","family":"Astra","given":"I Made","non-dropping-particle":"","parse-names":false,"suffix":""},{"dropping-particle":"","family":"Hasanah","given":"Uswatun","non-dropping-particle":"","parse-names":false,"suffix":""},{"dropping-particle":"","family":"Kependudukan","given":"Pendidikan","non-dropping-particle":"","parse-names":false,"suffix":""},{"dropping-particle":"","family":"Jakarta","given":"Universitas Negeri","non-dropping-particle":"","parse-names":false,"suffix":""}],"id":"ITEM-1","issue":"5","issued":{"date-parts":[["2022"]]},"page":"8368-8380","title":"Perilaku Pro-Lingkungan Peserta Didik Berdasarkan Media Pembelajaran dan Gender","type":"article-journal","volume":"6"},"uris":["http://www.mendeley.com/documents/?uuid=5aec7f5d-f499-473c-bb48-990acb9d4c4d"]}],"mendeley":{"formattedCitation":"(Baga et al., 2022)","plainTextFormattedCitation":"(Baga et al., 2022)","previouslyFormattedCitation":"(Baga et al., 2022)"},"properties":{"noteIndex":0},"schema":"https://github.com/citation-style-language/schema/raw/master/csl-citation.json"}</w:instrText>
      </w:r>
      <w:r w:rsidRPr="00504F88">
        <w:rPr>
          <w:bCs/>
          <w:szCs w:val="24"/>
        </w:rPr>
        <w:fldChar w:fldCharType="separate"/>
      </w:r>
      <w:r w:rsidRPr="00504F88">
        <w:rPr>
          <w:bCs/>
          <w:noProof/>
          <w:szCs w:val="24"/>
        </w:rPr>
        <w:t>(Baga et al., 2022)</w:t>
      </w:r>
      <w:r w:rsidRPr="00504F88">
        <w:rPr>
          <w:bCs/>
          <w:szCs w:val="24"/>
        </w:rPr>
        <w:fldChar w:fldCharType="end"/>
      </w:r>
      <w:r w:rsidRPr="00504F88">
        <w:rPr>
          <w:bCs/>
          <w:szCs w:val="24"/>
        </w:rPr>
        <w:t xml:space="preserve">. </w:t>
      </w:r>
    </w:p>
    <w:p w14:paraId="68570992" w14:textId="77777777" w:rsidR="00504F88" w:rsidRPr="00504F88" w:rsidRDefault="00504F88" w:rsidP="00504F88">
      <w:pPr>
        <w:ind w:firstLine="720"/>
        <w:jc w:val="both"/>
        <w:rPr>
          <w:bCs/>
          <w:szCs w:val="24"/>
        </w:rPr>
      </w:pPr>
      <w:r w:rsidRPr="00504F88">
        <w:rPr>
          <w:bCs/>
          <w:szCs w:val="24"/>
        </w:rPr>
        <w:t xml:space="preserve">One factor that caused the analysis results to differ was that students at the school quickly imitated the good behavior of teachers and the P2RA program, but students' ecological abilities required more critical thinking (Hots) training. The high influence of conceptual understanding on pro-environmental behavior in this study is in line with the </w:t>
      </w:r>
      <w:r w:rsidRPr="00504F88">
        <w:rPr>
          <w:bCs/>
          <w:szCs w:val="24"/>
        </w:rPr>
        <w:fldChar w:fldCharType="begin" w:fldLock="1"/>
      </w:r>
      <w:r w:rsidRPr="00504F88">
        <w:rPr>
          <w:bCs/>
          <w:szCs w:val="24"/>
        </w:rPr>
        <w:instrText>ADDIN CSL_CITATION {"citationItems":[{"id":"ITEM-1","itemData":{"author":[{"dropping-particle":"","family":"Dalam","given":"Tantangan","non-dropping-particle":"","parse-names":false,"suffix":""},{"dropping-particle":"","family":"Abad","given":"Pendidikan","non-dropping-particle":"","parse-names":false,"suffix":""}],"id":"ITEM-1","issued":{"date-parts":[["2020"]]},"page":"239-245","title":"Literasi Lingkungan dan Kesadaran Lingkungan: Potensi dan Tantangan dalam Pendidikan Abad 21","type":"article-journal"},"uris":["http://www.mendeley.com/documents/?uuid=da71e2f4-5ba7-402f-8b47-b0ebe1d89be7"]}],"mendeley":{"formattedCitation":"(Dalam &amp; Abad, 2020)","plainTextFormattedCitation":"(Dalam &amp; Abad, 2020)","previouslyFormattedCitation":"(Dalam &amp; Abad, 2020)"},"properties":{"noteIndex":0},"schema":"https://github.com/citation-style-language/schema/raw/master/csl-citation.json"}</w:instrText>
      </w:r>
      <w:r w:rsidRPr="00504F88">
        <w:rPr>
          <w:bCs/>
          <w:szCs w:val="24"/>
        </w:rPr>
        <w:fldChar w:fldCharType="separate"/>
      </w:r>
      <w:r w:rsidRPr="00504F88">
        <w:rPr>
          <w:bCs/>
          <w:noProof/>
          <w:szCs w:val="24"/>
        </w:rPr>
        <w:t>(Dalam &amp; Abad, 2020)</w:t>
      </w:r>
      <w:r w:rsidRPr="00504F88">
        <w:rPr>
          <w:bCs/>
          <w:szCs w:val="24"/>
        </w:rPr>
        <w:fldChar w:fldCharType="end"/>
      </w:r>
      <w:r w:rsidRPr="00504F88">
        <w:rPr>
          <w:bCs/>
          <w:szCs w:val="24"/>
        </w:rPr>
        <w:t xml:space="preserve"> that environmental literacy is not merely a mastery of theory, but rather an individual's capacity to take concrete actions to solve environmental problems. The awareness that grows from a mature understanding of concepts will shape students' personal responsibility for ecosystem sustainability.</w:t>
      </w:r>
    </w:p>
    <w:p w14:paraId="38739121" w14:textId="42E19356" w:rsidR="00504F88" w:rsidRPr="00F82D4F" w:rsidRDefault="00504F88" w:rsidP="00F82D4F">
      <w:pPr>
        <w:ind w:firstLine="720"/>
        <w:jc w:val="both"/>
        <w:rPr>
          <w:bCs/>
          <w:szCs w:val="24"/>
        </w:rPr>
      </w:pPr>
      <w:r w:rsidRPr="00504F88">
        <w:rPr>
          <w:bCs/>
          <w:szCs w:val="24"/>
        </w:rPr>
        <w:t xml:space="preserve">This study confirms that the gap between ecological behavior and ability can be bridged through the development of socio-scientific reasoning. As emphasized by Mustika et al. (2025), strengthening scientific reasoning will equip students with more mature decision-making skills, so that they not only behave in a pro-environmental manner procedurally, but also have sharp systemic analysis capabilities.  </w:t>
      </w:r>
    </w:p>
    <w:p w14:paraId="00000052" w14:textId="113BA69D" w:rsidR="00554F16" w:rsidRDefault="007E12B9">
      <w:pPr>
        <w:keepNext/>
        <w:pBdr>
          <w:top w:val="nil"/>
          <w:left w:val="nil"/>
          <w:bottom w:val="nil"/>
          <w:right w:val="nil"/>
          <w:between w:val="nil"/>
        </w:pBdr>
        <w:spacing w:before="480" w:after="120"/>
        <w:ind w:firstLine="0"/>
        <w:rPr>
          <w:rFonts w:cs="Garamond"/>
          <w:b/>
          <w:smallCaps/>
          <w:color w:val="000000"/>
          <w:szCs w:val="24"/>
        </w:rPr>
      </w:pPr>
      <w:r>
        <w:rPr>
          <w:rFonts w:cs="Garamond"/>
          <w:b/>
          <w:smallCaps/>
          <w:color w:val="000000"/>
          <w:szCs w:val="24"/>
        </w:rPr>
        <w:t>CONCLUSION</w:t>
      </w:r>
    </w:p>
    <w:p w14:paraId="3F5C7B7B" w14:textId="4B59644F" w:rsidR="0036591C" w:rsidRDefault="0036591C" w:rsidP="0036591C">
      <w:pPr>
        <w:pBdr>
          <w:top w:val="nil"/>
          <w:left w:val="nil"/>
          <w:bottom w:val="nil"/>
          <w:right w:val="nil"/>
          <w:between w:val="nil"/>
        </w:pBdr>
        <w:spacing w:after="240"/>
        <w:ind w:firstLine="720"/>
        <w:jc w:val="both"/>
        <w:rPr>
          <w:rFonts w:cs="Garamond"/>
          <w:color w:val="000000"/>
          <w:szCs w:val="24"/>
        </w:rPr>
      </w:pPr>
      <w:r w:rsidRPr="0036591C">
        <w:rPr>
          <w:rFonts w:cs="Garamond"/>
          <w:color w:val="000000"/>
          <w:szCs w:val="24"/>
        </w:rPr>
        <w:t xml:space="preserve">Based on research data, understanding the concept of sustainable development has a significant influence on the pro-environmental behavior and ecological competence of students at MA Al-Islam </w:t>
      </w:r>
      <w:proofErr w:type="spellStart"/>
      <w:r w:rsidRPr="0036591C">
        <w:rPr>
          <w:rFonts w:cs="Garamond"/>
          <w:color w:val="000000"/>
          <w:szCs w:val="24"/>
        </w:rPr>
        <w:t>Joresan</w:t>
      </w:r>
      <w:proofErr w:type="spellEnd"/>
      <w:r w:rsidRPr="0036591C">
        <w:rPr>
          <w:rFonts w:cs="Garamond"/>
          <w:color w:val="000000"/>
          <w:szCs w:val="24"/>
        </w:rPr>
        <w:t>. Through a data selection process from 23 initial respondents, this study identified 3 respondents with low scores (36-49) as outliers and focused the analysis on 20 selected respondents to obtain a more precise model. The results of the structural model testing show that conceptual understanding can explain 78% of the variation in pro-environmental behavior and 64.6% of ecological competence. These findings confirm that the pro-environmental behavior of madrasah students is not only formed through routine habits (P2RA program), but also depends heavily on the extent to which students understand the essence of sustainability itself. However, the lower contribution to the ecological competence variable (64.6%) indicates a need to improve higher-order thinking skills (HOTS) in analyzing ecological systems. As a practical suggestion, madrasahs need to optimize their curriculum by strengthening socio-scientific reasoning so that students have the capacity to make appropriate decisions regarding environmental issues in the future.</w:t>
      </w:r>
    </w:p>
    <w:p w14:paraId="3F69FA93" w14:textId="7082BE34" w:rsidR="00FB5515" w:rsidRDefault="00FB5515" w:rsidP="0036591C">
      <w:pPr>
        <w:pBdr>
          <w:top w:val="nil"/>
          <w:left w:val="nil"/>
          <w:bottom w:val="nil"/>
          <w:right w:val="nil"/>
          <w:between w:val="nil"/>
        </w:pBdr>
        <w:spacing w:after="240"/>
        <w:ind w:firstLine="720"/>
        <w:jc w:val="both"/>
        <w:rPr>
          <w:rFonts w:cs="Garamond"/>
          <w:color w:val="000000"/>
          <w:szCs w:val="24"/>
        </w:rPr>
      </w:pPr>
      <w:r w:rsidRPr="00FB5515">
        <w:rPr>
          <w:rFonts w:cs="Garamond"/>
          <w:color w:val="000000"/>
          <w:szCs w:val="24"/>
        </w:rPr>
        <w:t>As practical advice, educational institutions need to optimize their curricula by integrating digital technology and virtual simulations to bridge abstract concepts with real-world situations. In addition, it is necessary to reposition the role of students from mere consumers of information to agents of change through contextual problem-based learning models. By strengthening the synergy between scientific understanding, Islamic ethical values, and practical experience, it is hoped that students will not only behave in an environmentally friendly manner because of curriculum requirements, but based on deep critical reasoning for the sake of future sustainability.</w:t>
      </w:r>
    </w:p>
    <w:p w14:paraId="00000054" w14:textId="77777777" w:rsidR="00554F16" w:rsidRDefault="007E12B9">
      <w:pPr>
        <w:keepNext/>
        <w:pBdr>
          <w:top w:val="nil"/>
          <w:left w:val="nil"/>
          <w:bottom w:val="nil"/>
          <w:right w:val="nil"/>
          <w:between w:val="nil"/>
        </w:pBdr>
        <w:spacing w:after="120"/>
        <w:ind w:firstLine="0"/>
        <w:rPr>
          <w:rFonts w:cs="Garamond"/>
          <w:b/>
          <w:smallCaps/>
          <w:color w:val="000000"/>
          <w:szCs w:val="24"/>
        </w:rPr>
      </w:pPr>
      <w:r>
        <w:rPr>
          <w:rFonts w:cs="Garamond"/>
          <w:b/>
          <w:smallCaps/>
          <w:color w:val="000000"/>
          <w:szCs w:val="24"/>
        </w:rPr>
        <w:t>ACKNOWLEDGMENTS</w:t>
      </w:r>
    </w:p>
    <w:p w14:paraId="00000055" w14:textId="114DAED0" w:rsidR="00554F16" w:rsidRDefault="0036591C">
      <w:pPr>
        <w:spacing w:after="240"/>
        <w:ind w:firstLine="0"/>
        <w:jc w:val="both"/>
      </w:pPr>
      <w:r w:rsidRPr="0036591C">
        <w:t xml:space="preserve">The authors would like to express their sincere gratitude to </w:t>
      </w:r>
      <w:r w:rsidR="000D0CD8" w:rsidRPr="000D0CD8">
        <w:t xml:space="preserve">Universitas Islam Negeri Kiai </w:t>
      </w:r>
      <w:proofErr w:type="spellStart"/>
      <w:r w:rsidR="000D0CD8" w:rsidRPr="000D0CD8">
        <w:t>Ageng</w:t>
      </w:r>
      <w:proofErr w:type="spellEnd"/>
      <w:r w:rsidR="000D0CD8" w:rsidRPr="000D0CD8">
        <w:t xml:space="preserve"> Muhammad </w:t>
      </w:r>
      <w:proofErr w:type="spellStart"/>
      <w:r w:rsidR="000D0CD8" w:rsidRPr="000D0CD8">
        <w:t>Besari</w:t>
      </w:r>
      <w:proofErr w:type="spellEnd"/>
      <w:r w:rsidR="000D0CD8" w:rsidRPr="000D0CD8">
        <w:t xml:space="preserve"> </w:t>
      </w:r>
      <w:proofErr w:type="spellStart"/>
      <w:r w:rsidR="000D0CD8" w:rsidRPr="000D0CD8">
        <w:t>Ponorogo</w:t>
      </w:r>
      <w:proofErr w:type="spellEnd"/>
      <w:r w:rsidR="000D0CD8">
        <w:t xml:space="preserve"> </w:t>
      </w:r>
      <w:r w:rsidRPr="0036591C">
        <w:t xml:space="preserve">for providing financial support for the implementation and publication of this research. The authors also extend their appreciation to </w:t>
      </w:r>
      <w:r w:rsidR="000D0CD8">
        <w:t xml:space="preserve">MA Al-Islam </w:t>
      </w:r>
      <w:proofErr w:type="spellStart"/>
      <w:r w:rsidR="000D0CD8">
        <w:t>Joresan</w:t>
      </w:r>
      <w:proofErr w:type="spellEnd"/>
      <w:r w:rsidRPr="0036591C">
        <w:t xml:space="preserve"> for the valuable support and permission granted to conduct the study. The collaboration and assistance from both institutions were essential to the successful completion of this research</w:t>
      </w:r>
      <w:r w:rsidR="007E12B9">
        <w:t>.</w:t>
      </w:r>
    </w:p>
    <w:p w14:paraId="7EE46DC1" w14:textId="1C538671" w:rsidR="00FB5515" w:rsidRPr="00FB5515" w:rsidRDefault="007E12B9" w:rsidP="00FB5515">
      <w:pPr>
        <w:pStyle w:val="Heading1"/>
        <w:spacing w:before="0"/>
      </w:pPr>
      <w:r>
        <w:t>REFERENCES</w:t>
      </w:r>
    </w:p>
    <w:p w14:paraId="6209AB77" w14:textId="62A97455" w:rsidR="00F16F8A" w:rsidRPr="00F16F8A" w:rsidRDefault="00F16F8A" w:rsidP="00F16F8A">
      <w:pPr>
        <w:widowControl w:val="0"/>
        <w:autoSpaceDE w:val="0"/>
        <w:autoSpaceDN w:val="0"/>
        <w:adjustRightInd w:val="0"/>
        <w:spacing w:after="40"/>
        <w:ind w:left="480" w:hanging="480"/>
        <w:jc w:val="both"/>
        <w:rPr>
          <w:noProof/>
          <w:szCs w:val="24"/>
        </w:rPr>
      </w:pPr>
      <w:r>
        <w:rPr>
          <w:rFonts w:cs="Garamond"/>
          <w:color w:val="000000"/>
          <w:szCs w:val="24"/>
        </w:rPr>
        <w:fldChar w:fldCharType="begin" w:fldLock="1"/>
      </w:r>
      <w:r>
        <w:rPr>
          <w:rFonts w:cs="Garamond"/>
          <w:color w:val="000000"/>
          <w:szCs w:val="24"/>
        </w:rPr>
        <w:instrText xml:space="preserve">ADDIN Mendeley Bibliography CSL_BIBLIOGRAPHY </w:instrText>
      </w:r>
      <w:r>
        <w:rPr>
          <w:rFonts w:cs="Garamond"/>
          <w:color w:val="000000"/>
          <w:szCs w:val="24"/>
        </w:rPr>
        <w:fldChar w:fldCharType="separate"/>
      </w:r>
      <w:r w:rsidRPr="00F16F8A">
        <w:rPr>
          <w:noProof/>
          <w:szCs w:val="24"/>
        </w:rPr>
        <w:t xml:space="preserve">Alfajri, A., Experts, E. G. P., &amp; Community, E. G. (2025). </w:t>
      </w:r>
      <w:r w:rsidRPr="00F16F8A">
        <w:rPr>
          <w:i/>
          <w:iCs/>
          <w:noProof/>
          <w:szCs w:val="24"/>
        </w:rPr>
        <w:t>Modern Sociological Theory: [ Teori Sosiologi Modern ]</w:t>
      </w:r>
      <w:r w:rsidRPr="00F16F8A">
        <w:rPr>
          <w:noProof/>
          <w:szCs w:val="24"/>
        </w:rPr>
        <w:t>. EduGorilla Community Pvt. Ltd. https://books.google.co.id/books?id=XBCFEQAAQBAJ</w:t>
      </w:r>
    </w:p>
    <w:p w14:paraId="2803F08A"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Aprilianti, A. N. M. (2023). </w:t>
      </w:r>
      <w:r w:rsidRPr="00F16F8A">
        <w:rPr>
          <w:i/>
          <w:iCs/>
          <w:noProof/>
          <w:szCs w:val="24"/>
        </w:rPr>
        <w:t>PENGARUH IMPLEMENTASI PROGRAM ADIWIYATA TERHADAP LITERASI LINGKUNGAN PESERTA DIDIK SMA NEGERI 10 YOGYAKARTA</w:t>
      </w:r>
      <w:r w:rsidRPr="00F16F8A">
        <w:rPr>
          <w:noProof/>
          <w:szCs w:val="24"/>
        </w:rPr>
        <w:t xml:space="preserve">. </w:t>
      </w:r>
      <w:r w:rsidRPr="00F16F8A">
        <w:rPr>
          <w:i/>
          <w:iCs/>
          <w:noProof/>
          <w:szCs w:val="24"/>
        </w:rPr>
        <w:t>9</w:t>
      </w:r>
      <w:r w:rsidRPr="00F16F8A">
        <w:rPr>
          <w:noProof/>
          <w:szCs w:val="24"/>
        </w:rPr>
        <w:t>(1), 46–62.</w:t>
      </w:r>
    </w:p>
    <w:p w14:paraId="3A2F9EB9"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Ardiansyah, R. H., &amp; Khurtumi, N. D. (2022). </w:t>
      </w:r>
      <w:r w:rsidRPr="00F16F8A">
        <w:rPr>
          <w:i/>
          <w:iCs/>
          <w:noProof/>
          <w:szCs w:val="24"/>
        </w:rPr>
        <w:t>PERILAKU TEKANAN AIR PORI PADA BENDUNGAN BAJULMATI MULAI PENGISIAN HINGGA TAHUN 2020</w:t>
      </w:r>
      <w:r w:rsidRPr="00F16F8A">
        <w:rPr>
          <w:noProof/>
          <w:szCs w:val="24"/>
        </w:rPr>
        <w:t xml:space="preserve">. </w:t>
      </w:r>
      <w:r w:rsidRPr="00F16F8A">
        <w:rPr>
          <w:i/>
          <w:iCs/>
          <w:noProof/>
          <w:szCs w:val="24"/>
        </w:rPr>
        <w:t>9</w:t>
      </w:r>
      <w:r w:rsidRPr="00F16F8A">
        <w:rPr>
          <w:noProof/>
          <w:szCs w:val="24"/>
        </w:rPr>
        <w:t>(2).</w:t>
      </w:r>
    </w:p>
    <w:p w14:paraId="4FE8E8B6"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Babatunde, L., Id, A., &amp; Hossana, T. (2024). </w:t>
      </w:r>
      <w:r w:rsidRPr="00F16F8A">
        <w:rPr>
          <w:i/>
          <w:iCs/>
          <w:noProof/>
          <w:szCs w:val="24"/>
        </w:rPr>
        <w:t>An empirical comparison of some missing data treatments in PLS-SEM</w:t>
      </w:r>
      <w:r w:rsidRPr="00F16F8A">
        <w:rPr>
          <w:noProof/>
          <w:szCs w:val="24"/>
        </w:rPr>
        <w:t>. 1–14. https://doi.org/10.1371/journal.pone.0297037</w:t>
      </w:r>
    </w:p>
    <w:p w14:paraId="35346F3A"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Baga, S., Astuty, E. R., Astra, I. M., Hasanah, U., Kependudukan, P., &amp; Jakarta, U. N. (2022). </w:t>
      </w:r>
      <w:r w:rsidRPr="00F16F8A">
        <w:rPr>
          <w:i/>
          <w:iCs/>
          <w:noProof/>
          <w:szCs w:val="24"/>
        </w:rPr>
        <w:t>Perilaku Pro-Lingkungan Peserta Didik Berdasarkan Media Pembelajaran dan Gender</w:t>
      </w:r>
      <w:r w:rsidRPr="00F16F8A">
        <w:rPr>
          <w:noProof/>
          <w:szCs w:val="24"/>
        </w:rPr>
        <w:t xml:space="preserve">. </w:t>
      </w:r>
      <w:r w:rsidRPr="00F16F8A">
        <w:rPr>
          <w:i/>
          <w:iCs/>
          <w:noProof/>
          <w:szCs w:val="24"/>
        </w:rPr>
        <w:t>6</w:t>
      </w:r>
      <w:r w:rsidRPr="00F16F8A">
        <w:rPr>
          <w:noProof/>
          <w:szCs w:val="24"/>
        </w:rPr>
        <w:t>(5), 8368–8380.</w:t>
      </w:r>
    </w:p>
    <w:p w14:paraId="379BC722"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Dalam, T., &amp; Abad, P. (2020). </w:t>
      </w:r>
      <w:r w:rsidRPr="00F16F8A">
        <w:rPr>
          <w:i/>
          <w:iCs/>
          <w:noProof/>
          <w:szCs w:val="24"/>
        </w:rPr>
        <w:t>Literasi Lingkungan dan Kesadaran Lingkungan: Potensi dan Tantangan dalam Pendidikan Abad 21</w:t>
      </w:r>
      <w:r w:rsidRPr="00F16F8A">
        <w:rPr>
          <w:noProof/>
          <w:szCs w:val="24"/>
        </w:rPr>
        <w:t>. 239–245.</w:t>
      </w:r>
    </w:p>
    <w:p w14:paraId="6E332CA1"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Hair, J. F., Hult, G. T. M., &amp; Ringle, C. M. (2022). </w:t>
      </w:r>
      <w:r w:rsidRPr="00F16F8A">
        <w:rPr>
          <w:i/>
          <w:iCs/>
          <w:noProof/>
          <w:szCs w:val="24"/>
        </w:rPr>
        <w:t>A Primer on Partial Least Squares Structural Equation Modeling ( PLS-SEM )</w:t>
      </w:r>
      <w:r w:rsidRPr="00F16F8A">
        <w:rPr>
          <w:noProof/>
          <w:szCs w:val="24"/>
        </w:rPr>
        <w:t>.</w:t>
      </w:r>
    </w:p>
    <w:p w14:paraId="3C440F0E"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Liputo, M. A. (2025). </w:t>
      </w:r>
      <w:r w:rsidRPr="00F16F8A">
        <w:rPr>
          <w:i/>
          <w:iCs/>
          <w:noProof/>
          <w:szCs w:val="24"/>
        </w:rPr>
        <w:t>Integrasi Ekonomi Hijau dalam Kurikulum dan Pembelajaran Ekonomi di Sekolah ( Membangun Generasi Peduli Lingkungan Melalui Pendidikan Ekonomi Berkelanjutan )</w:t>
      </w:r>
      <w:r w:rsidRPr="00F16F8A">
        <w:rPr>
          <w:noProof/>
          <w:szCs w:val="24"/>
        </w:rPr>
        <w:t xml:space="preserve">. </w:t>
      </w:r>
      <w:r w:rsidRPr="00F16F8A">
        <w:rPr>
          <w:i/>
          <w:iCs/>
          <w:noProof/>
          <w:szCs w:val="24"/>
        </w:rPr>
        <w:t>06</w:t>
      </w:r>
      <w:r w:rsidRPr="00F16F8A">
        <w:rPr>
          <w:noProof/>
          <w:szCs w:val="24"/>
        </w:rPr>
        <w:t>(08), 4029–4040.</w:t>
      </w:r>
    </w:p>
    <w:p w14:paraId="1A025B96"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Malik, A., Amrullah, K., Murfi, A., Fauzi, A., &amp; Basri, B. (2025). </w:t>
      </w:r>
      <w:r w:rsidRPr="00F16F8A">
        <w:rPr>
          <w:i/>
          <w:iCs/>
          <w:noProof/>
          <w:szCs w:val="24"/>
        </w:rPr>
        <w:t>Integrating Islamic Education with Environmental Programs</w:t>
      </w:r>
      <w:r w:rsidRPr="00F16F8A">
        <w:rPr>
          <w:rFonts w:ascii="Times New Roman" w:hAnsi="Times New Roman"/>
          <w:i/>
          <w:iCs/>
          <w:noProof/>
          <w:szCs w:val="24"/>
        </w:rPr>
        <w:t> </w:t>
      </w:r>
      <w:r w:rsidRPr="00F16F8A">
        <w:rPr>
          <w:i/>
          <w:iCs/>
          <w:noProof/>
          <w:szCs w:val="24"/>
        </w:rPr>
        <w:t>: Strategies for Sustainable Character Development at SMAN 2 and 7 Malang Indonesia</w:t>
      </w:r>
      <w:r w:rsidRPr="00F16F8A">
        <w:rPr>
          <w:noProof/>
          <w:szCs w:val="24"/>
        </w:rPr>
        <w:t xml:space="preserve">. </w:t>
      </w:r>
      <w:r w:rsidRPr="00F16F8A">
        <w:rPr>
          <w:i/>
          <w:iCs/>
          <w:noProof/>
          <w:szCs w:val="24"/>
        </w:rPr>
        <w:t>30</w:t>
      </w:r>
      <w:r w:rsidRPr="00F16F8A">
        <w:rPr>
          <w:noProof/>
          <w:szCs w:val="24"/>
        </w:rPr>
        <w:t>(3), 3276–3287.</w:t>
      </w:r>
    </w:p>
    <w:p w14:paraId="6780589D"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Mustika, R. A., Fadly, W., &amp; David, M. (2025). </w:t>
      </w:r>
      <w:r w:rsidRPr="00F16F8A">
        <w:rPr>
          <w:i/>
          <w:iCs/>
          <w:noProof/>
          <w:szCs w:val="24"/>
        </w:rPr>
        <w:t>Students ’ Socio-scientific Reasoning to Measure Decision-Making Ability Related to Sustainable Energy Issues</w:t>
      </w:r>
      <w:r w:rsidRPr="00F16F8A">
        <w:rPr>
          <w:noProof/>
          <w:szCs w:val="24"/>
        </w:rPr>
        <w:t xml:space="preserve">. </w:t>
      </w:r>
      <w:r w:rsidRPr="00F16F8A">
        <w:rPr>
          <w:i/>
          <w:iCs/>
          <w:noProof/>
          <w:szCs w:val="24"/>
        </w:rPr>
        <w:t>6</w:t>
      </w:r>
      <w:r w:rsidRPr="00F16F8A">
        <w:rPr>
          <w:noProof/>
          <w:szCs w:val="24"/>
        </w:rPr>
        <w:t>(1), 220–228. https://doi.org/10.46843/jiecr.v6i1.2185</w:t>
      </w:r>
    </w:p>
    <w:p w14:paraId="41D4780B"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Mutmainah, O., &amp; Norsaputra, A. (2023). </w:t>
      </w:r>
      <w:r w:rsidRPr="00F16F8A">
        <w:rPr>
          <w:i/>
          <w:iCs/>
          <w:noProof/>
          <w:szCs w:val="24"/>
        </w:rPr>
        <w:t>Jurnal Pendidikan IPA Indonesia IMPROVING CLIMATE LITERACY OF HIGH SCHOOL STUDENTS THROUGH PHYSICS TEACHING MATERIALS BASED ON STEM</w:t>
      </w:r>
      <w:r w:rsidRPr="00F16F8A">
        <w:rPr>
          <w:noProof/>
          <w:szCs w:val="24"/>
        </w:rPr>
        <w:t xml:space="preserve">. </w:t>
      </w:r>
      <w:r w:rsidRPr="00F16F8A">
        <w:rPr>
          <w:i/>
          <w:iCs/>
          <w:noProof/>
          <w:szCs w:val="24"/>
        </w:rPr>
        <w:t>12</w:t>
      </w:r>
      <w:r w:rsidRPr="00F16F8A">
        <w:rPr>
          <w:noProof/>
          <w:szCs w:val="24"/>
        </w:rPr>
        <w:t>(4), 526–537. https://doi.org/10.15294/jpii.v12i4.43188</w:t>
      </w:r>
    </w:p>
    <w:p w14:paraId="0F0E2540"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Purwianingsih, W., Novidsa, I., &amp; Riandi, R. (2022). </w:t>
      </w:r>
      <w:r w:rsidRPr="00F16F8A">
        <w:rPr>
          <w:i/>
          <w:iCs/>
          <w:noProof/>
          <w:szCs w:val="24"/>
        </w:rPr>
        <w:t>Jurnal Pendidikan IPA Indonesia PROGRAM FOR INTEGRATING EDUCATION FOR SUSTAINABLE DEVELOPMENT ( ESD ) INTO PROSPECTIVE BIOLOGY TEACHERS ’ TECHNOLOGICAL PEDAGOGICAL CONTENT KNOWLEDGE ( TPACK )</w:t>
      </w:r>
      <w:r w:rsidRPr="00F16F8A">
        <w:rPr>
          <w:noProof/>
          <w:szCs w:val="24"/>
        </w:rPr>
        <w:t xml:space="preserve">. </w:t>
      </w:r>
      <w:r w:rsidRPr="00F16F8A">
        <w:rPr>
          <w:i/>
          <w:iCs/>
          <w:noProof/>
          <w:szCs w:val="24"/>
        </w:rPr>
        <w:t>11</w:t>
      </w:r>
      <w:r w:rsidRPr="00F16F8A">
        <w:rPr>
          <w:noProof/>
          <w:szCs w:val="24"/>
        </w:rPr>
        <w:t>(2), 219–228. https://doi.org/10.15294/jpii.v11i2.34772</w:t>
      </w:r>
    </w:p>
    <w:p w14:paraId="2CB7C744"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Putri, A. A., Hidayat, T., &amp; Supriatno, B. (2023). </w:t>
      </w:r>
      <w:r w:rsidRPr="00F16F8A">
        <w:rPr>
          <w:i/>
          <w:iCs/>
          <w:noProof/>
          <w:szCs w:val="24"/>
        </w:rPr>
        <w:t>Senior High School Students Perception on Sustainability Literacy in Biology Learning</w:t>
      </w:r>
      <w:r w:rsidRPr="00F16F8A">
        <w:rPr>
          <w:noProof/>
          <w:szCs w:val="24"/>
        </w:rPr>
        <w:t xml:space="preserve">. </w:t>
      </w:r>
      <w:r w:rsidRPr="00F16F8A">
        <w:rPr>
          <w:i/>
          <w:iCs/>
          <w:noProof/>
          <w:szCs w:val="24"/>
        </w:rPr>
        <w:t>9</w:t>
      </w:r>
      <w:r w:rsidRPr="00F16F8A">
        <w:rPr>
          <w:noProof/>
          <w:szCs w:val="24"/>
        </w:rPr>
        <w:t>(7), 5737–5744. https://doi.org/10.29303/jppipa.v9i7.3705</w:t>
      </w:r>
    </w:p>
    <w:p w14:paraId="21644C54"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Putro, H. (2024). </w:t>
      </w:r>
      <w:r w:rsidRPr="00F16F8A">
        <w:rPr>
          <w:i/>
          <w:iCs/>
          <w:noProof/>
          <w:szCs w:val="24"/>
        </w:rPr>
        <w:t>Melangkah Menuju Lingkungan yang Berkelanjutan</w:t>
      </w:r>
      <w:r w:rsidRPr="00F16F8A">
        <w:rPr>
          <w:rFonts w:ascii="Times New Roman" w:hAnsi="Times New Roman"/>
          <w:i/>
          <w:iCs/>
          <w:noProof/>
          <w:szCs w:val="24"/>
        </w:rPr>
        <w:t> </w:t>
      </w:r>
      <w:r w:rsidRPr="00F16F8A">
        <w:rPr>
          <w:i/>
          <w:iCs/>
          <w:noProof/>
          <w:szCs w:val="24"/>
        </w:rPr>
        <w:t>: Tantangan dan Solusi untuk Masa Depan Bumi Melangkah Menuju Lingkungan yang Berkelanjutan</w:t>
      </w:r>
      <w:r w:rsidRPr="00F16F8A">
        <w:rPr>
          <w:rFonts w:ascii="Times New Roman" w:hAnsi="Times New Roman"/>
          <w:i/>
          <w:iCs/>
          <w:noProof/>
          <w:szCs w:val="24"/>
        </w:rPr>
        <w:t> </w:t>
      </w:r>
      <w:r w:rsidRPr="00F16F8A">
        <w:rPr>
          <w:i/>
          <w:iCs/>
          <w:noProof/>
          <w:szCs w:val="24"/>
        </w:rPr>
        <w:t>: Tantangan Utama yang Dihadapi dalam Menjaga Keberlanjutan Lingkungan di</w:t>
      </w:r>
      <w:r w:rsidRPr="00F16F8A">
        <w:rPr>
          <w:noProof/>
          <w:szCs w:val="24"/>
        </w:rPr>
        <w:t xml:space="preserve">. </w:t>
      </w:r>
      <w:r w:rsidRPr="00F16F8A">
        <w:rPr>
          <w:i/>
          <w:iCs/>
          <w:noProof/>
          <w:szCs w:val="24"/>
        </w:rPr>
        <w:t>1</w:t>
      </w:r>
      <w:r w:rsidRPr="00F16F8A">
        <w:rPr>
          <w:noProof/>
          <w:szCs w:val="24"/>
        </w:rPr>
        <w:t>(3), 111–120.</w:t>
      </w:r>
    </w:p>
    <w:p w14:paraId="1FD0F714"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Rahmani, Z., &amp; Ahmadi, J. (2024). </w:t>
      </w:r>
      <w:r w:rsidRPr="00F16F8A">
        <w:rPr>
          <w:i/>
          <w:iCs/>
          <w:noProof/>
          <w:szCs w:val="24"/>
        </w:rPr>
        <w:t>Sprin Journal of Arts, Humanities and Social Sciences</w:t>
      </w:r>
      <w:r w:rsidRPr="00F16F8A">
        <w:rPr>
          <w:noProof/>
          <w:szCs w:val="24"/>
        </w:rPr>
        <w:t xml:space="preserve">. </w:t>
      </w:r>
      <w:r w:rsidRPr="00F16F8A">
        <w:rPr>
          <w:i/>
          <w:iCs/>
          <w:noProof/>
          <w:szCs w:val="24"/>
        </w:rPr>
        <w:t>2387</w:t>
      </w:r>
      <w:r w:rsidRPr="00F16F8A">
        <w:rPr>
          <w:noProof/>
          <w:szCs w:val="24"/>
        </w:rPr>
        <w:t>, 24–27.</w:t>
      </w:r>
    </w:p>
    <w:p w14:paraId="2EA37576"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Rahmat, H. K. (2024). </w:t>
      </w:r>
      <w:r w:rsidRPr="00F16F8A">
        <w:rPr>
          <w:i/>
          <w:iCs/>
          <w:noProof/>
          <w:szCs w:val="24"/>
        </w:rPr>
        <w:t>MEWUJUDKAN PEMBANGUNAN BERKELANJUTAN DENGAN PERSPEKTIF LINGKUNGAN</w:t>
      </w:r>
      <w:r w:rsidRPr="00F16F8A">
        <w:rPr>
          <w:rFonts w:ascii="Times New Roman" w:hAnsi="Times New Roman"/>
          <w:i/>
          <w:iCs/>
          <w:noProof/>
          <w:szCs w:val="24"/>
        </w:rPr>
        <w:t> </w:t>
      </w:r>
      <w:r w:rsidRPr="00F16F8A">
        <w:rPr>
          <w:i/>
          <w:iCs/>
          <w:noProof/>
          <w:szCs w:val="24"/>
        </w:rPr>
        <w:t>: SOLUSI UNTUK TANTANGAN GLOBAL ACHIEVING SUSTAINABLE DEVELOPMENT WITH AN ENVIRONMENTAL PERSPECTIVE</w:t>
      </w:r>
      <w:r w:rsidRPr="00F16F8A">
        <w:rPr>
          <w:rFonts w:ascii="Times New Roman" w:hAnsi="Times New Roman"/>
          <w:i/>
          <w:iCs/>
          <w:noProof/>
          <w:szCs w:val="24"/>
        </w:rPr>
        <w:t> </w:t>
      </w:r>
      <w:r w:rsidRPr="00F16F8A">
        <w:rPr>
          <w:i/>
          <w:iCs/>
          <w:noProof/>
          <w:szCs w:val="24"/>
        </w:rPr>
        <w:t>: SOLUTIONS FOR Pendahuluan</w:t>
      </w:r>
      <w:r w:rsidRPr="00F16F8A">
        <w:rPr>
          <w:noProof/>
          <w:szCs w:val="24"/>
        </w:rPr>
        <w:t xml:space="preserve">. </w:t>
      </w:r>
      <w:r w:rsidRPr="00F16F8A">
        <w:rPr>
          <w:i/>
          <w:iCs/>
          <w:noProof/>
          <w:szCs w:val="24"/>
        </w:rPr>
        <w:t>7</w:t>
      </w:r>
      <w:r w:rsidRPr="00F16F8A">
        <w:rPr>
          <w:noProof/>
          <w:szCs w:val="24"/>
        </w:rPr>
        <w:t>(3), 1057–1070.</w:t>
      </w:r>
    </w:p>
    <w:p w14:paraId="4FDDF660"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Ringle, C. M., Saari, U. A., Damberg, S., &amp; Fr, L. (2021). </w:t>
      </w:r>
      <w:r w:rsidRPr="00F16F8A">
        <w:rPr>
          <w:i/>
          <w:iCs/>
          <w:noProof/>
          <w:szCs w:val="24"/>
        </w:rPr>
        <w:t>Sustainable consumption behavior of Europeans</w:t>
      </w:r>
      <w:r w:rsidRPr="00F16F8A">
        <w:rPr>
          <w:rFonts w:ascii="Times New Roman" w:hAnsi="Times New Roman"/>
          <w:i/>
          <w:iCs/>
          <w:noProof/>
          <w:szCs w:val="24"/>
        </w:rPr>
        <w:t> </w:t>
      </w:r>
      <w:r w:rsidRPr="00F16F8A">
        <w:rPr>
          <w:i/>
          <w:iCs/>
          <w:noProof/>
          <w:szCs w:val="24"/>
        </w:rPr>
        <w:t>: The influence of environmental knowledge and risk perception on environmental concern and behavioral intention</w:t>
      </w:r>
      <w:r w:rsidRPr="00F16F8A">
        <w:rPr>
          <w:noProof/>
          <w:szCs w:val="24"/>
        </w:rPr>
        <w:t xml:space="preserve">. </w:t>
      </w:r>
      <w:r w:rsidRPr="00F16F8A">
        <w:rPr>
          <w:i/>
          <w:iCs/>
          <w:noProof/>
          <w:szCs w:val="24"/>
        </w:rPr>
        <w:t>189</w:t>
      </w:r>
      <w:r w:rsidRPr="00F16F8A">
        <w:rPr>
          <w:noProof/>
          <w:szCs w:val="24"/>
        </w:rPr>
        <w:t>(April). https://doi.org/10.1016/j.ecolecon.2021.107155</w:t>
      </w:r>
    </w:p>
    <w:p w14:paraId="114197CC"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Saputra, H. Y., Syah, N., Azhar, A., &amp; Wilis, R. (2025). </w:t>
      </w:r>
      <w:r w:rsidRPr="00F16F8A">
        <w:rPr>
          <w:i/>
          <w:iCs/>
          <w:noProof/>
          <w:szCs w:val="24"/>
        </w:rPr>
        <w:t>Environmental Attitudes of Junior High School Students in Relation to the Implementation of the GPBLHS Program</w:t>
      </w:r>
      <w:r w:rsidRPr="00F16F8A">
        <w:rPr>
          <w:noProof/>
          <w:szCs w:val="24"/>
        </w:rPr>
        <w:t xml:space="preserve">. </w:t>
      </w:r>
      <w:r w:rsidRPr="00F16F8A">
        <w:rPr>
          <w:i/>
          <w:iCs/>
          <w:noProof/>
          <w:szCs w:val="24"/>
        </w:rPr>
        <w:t>11</w:t>
      </w:r>
      <w:r w:rsidRPr="00F16F8A">
        <w:rPr>
          <w:noProof/>
          <w:szCs w:val="24"/>
        </w:rPr>
        <w:t>(11), 1157–1165. https://doi.org/10.29303/jppipa.v11i11.13403</w:t>
      </w:r>
    </w:p>
    <w:p w14:paraId="1C691533"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Shobah, A. N. (2025). </w:t>
      </w:r>
      <w:r w:rsidRPr="00F16F8A">
        <w:rPr>
          <w:i/>
          <w:iCs/>
          <w:noProof/>
          <w:szCs w:val="24"/>
        </w:rPr>
        <w:t>Pengaruh Kesadaran Pengetahuan Lingkungan , dan Inovasi Berkelanjutan terhadap Partisipasi Masyarakat dalam Mendorong Pertumbuhan Green Economy di Kabupaten Sumenep</w:t>
      </w:r>
      <w:r w:rsidRPr="00F16F8A">
        <w:rPr>
          <w:noProof/>
          <w:szCs w:val="24"/>
        </w:rPr>
        <w:t xml:space="preserve">. </w:t>
      </w:r>
      <w:r w:rsidRPr="00F16F8A">
        <w:rPr>
          <w:i/>
          <w:iCs/>
          <w:noProof/>
          <w:szCs w:val="24"/>
        </w:rPr>
        <w:t>7</w:t>
      </w:r>
      <w:r w:rsidRPr="00F16F8A">
        <w:rPr>
          <w:noProof/>
          <w:szCs w:val="24"/>
        </w:rPr>
        <w:t>(2). https://doi.org/10.32877/ef.v7i2.2331</w:t>
      </w:r>
    </w:p>
    <w:p w14:paraId="065EFFD3"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Siagian, P. D. A. (2024). </w:t>
      </w:r>
      <w:r w:rsidRPr="00F16F8A">
        <w:rPr>
          <w:i/>
          <w:iCs/>
          <w:noProof/>
          <w:szCs w:val="24"/>
        </w:rPr>
        <w:t>MEMAHAMI PENELITIAN TANPA ANGKA: Kumpulan Tulisan untuk Penelitian yang Lebih Baik</w:t>
      </w:r>
      <w:r w:rsidRPr="00F16F8A">
        <w:rPr>
          <w:noProof/>
          <w:szCs w:val="24"/>
        </w:rPr>
        <w:t>. Gramedia Pustaka Utama. https://books.google.co.id/books?id=iv3tEAAAQBAJ</w:t>
      </w:r>
    </w:p>
    <w:p w14:paraId="05890145"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Simanjuntak, M., Nafila, N. L., Yuliati, L. N., Johan, I. R., Najib, M., &amp; Sabri, M. F. (2023). </w:t>
      </w:r>
      <w:r w:rsidRPr="00F16F8A">
        <w:rPr>
          <w:i/>
          <w:iCs/>
          <w:noProof/>
          <w:szCs w:val="24"/>
        </w:rPr>
        <w:t>Environmental Care Attitudes and Intention to Purchase Green Products</w:t>
      </w:r>
      <w:r w:rsidRPr="00F16F8A">
        <w:rPr>
          <w:rFonts w:ascii="Times New Roman" w:hAnsi="Times New Roman"/>
          <w:i/>
          <w:iCs/>
          <w:noProof/>
          <w:szCs w:val="24"/>
        </w:rPr>
        <w:t> </w:t>
      </w:r>
      <w:r w:rsidRPr="00F16F8A">
        <w:rPr>
          <w:i/>
          <w:iCs/>
          <w:noProof/>
          <w:szCs w:val="24"/>
        </w:rPr>
        <w:t>: Impact of Environmental Knowledge , Word of Mouth , and Green Marketing</w:t>
      </w:r>
      <w:r w:rsidRPr="00F16F8A">
        <w:rPr>
          <w:noProof/>
          <w:szCs w:val="24"/>
        </w:rPr>
        <w:t>.</w:t>
      </w:r>
    </w:p>
    <w:p w14:paraId="74026FB5"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Siregar, B., Putra, R., &amp; Akmal, N. (2024). </w:t>
      </w:r>
      <w:r w:rsidRPr="00F16F8A">
        <w:rPr>
          <w:i/>
          <w:iCs/>
          <w:noProof/>
          <w:szCs w:val="24"/>
        </w:rPr>
        <w:t>Construct Analysis of AMDA Model Syntax Using the Structural Equation Modeling-Partial Least Square ( SEM-PLS ) Method</w:t>
      </w:r>
      <w:r w:rsidRPr="00F16F8A">
        <w:rPr>
          <w:noProof/>
          <w:szCs w:val="24"/>
        </w:rPr>
        <w:t xml:space="preserve">. </w:t>
      </w:r>
      <w:r w:rsidRPr="00F16F8A">
        <w:rPr>
          <w:i/>
          <w:iCs/>
          <w:noProof/>
          <w:szCs w:val="24"/>
        </w:rPr>
        <w:t>10</w:t>
      </w:r>
      <w:r w:rsidRPr="00F16F8A">
        <w:rPr>
          <w:noProof/>
          <w:szCs w:val="24"/>
        </w:rPr>
        <w:t>(10), 8219–8226. https://doi.org/10.29303/jppipa.v10i10.9041</w:t>
      </w:r>
    </w:p>
    <w:p w14:paraId="1C846313"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Tass, M. A., &amp; Malik, I. A. (2025). </w:t>
      </w:r>
      <w:r w:rsidRPr="00F16F8A">
        <w:rPr>
          <w:i/>
          <w:iCs/>
          <w:noProof/>
          <w:szCs w:val="24"/>
        </w:rPr>
        <w:t>Driving Environmental Change</w:t>
      </w:r>
      <w:r w:rsidRPr="00F16F8A">
        <w:rPr>
          <w:rFonts w:ascii="Times New Roman" w:hAnsi="Times New Roman"/>
          <w:i/>
          <w:iCs/>
          <w:noProof/>
          <w:szCs w:val="24"/>
        </w:rPr>
        <w:t> </w:t>
      </w:r>
      <w:r w:rsidRPr="00F16F8A">
        <w:rPr>
          <w:i/>
          <w:iCs/>
          <w:noProof/>
          <w:szCs w:val="24"/>
        </w:rPr>
        <w:t>: The Impact of Social Media on Gen Z ’ s Sustainability Efforts</w:t>
      </w:r>
      <w:r w:rsidRPr="00F16F8A">
        <w:rPr>
          <w:noProof/>
          <w:szCs w:val="24"/>
        </w:rPr>
        <w:t xml:space="preserve">. </w:t>
      </w:r>
      <w:r w:rsidRPr="00F16F8A">
        <w:rPr>
          <w:i/>
          <w:iCs/>
          <w:noProof/>
          <w:szCs w:val="24"/>
        </w:rPr>
        <w:t>XXVI</w:t>
      </w:r>
      <w:r w:rsidRPr="00F16F8A">
        <w:rPr>
          <w:noProof/>
          <w:szCs w:val="24"/>
        </w:rPr>
        <w:t>, 623–641.</w:t>
      </w:r>
    </w:p>
    <w:p w14:paraId="1DD98E2C" w14:textId="77777777" w:rsidR="00F16F8A" w:rsidRPr="00F16F8A" w:rsidRDefault="00F16F8A" w:rsidP="00F16F8A">
      <w:pPr>
        <w:widowControl w:val="0"/>
        <w:autoSpaceDE w:val="0"/>
        <w:autoSpaceDN w:val="0"/>
        <w:adjustRightInd w:val="0"/>
        <w:spacing w:after="40"/>
        <w:ind w:left="480" w:hanging="480"/>
        <w:jc w:val="both"/>
        <w:rPr>
          <w:noProof/>
          <w:szCs w:val="24"/>
        </w:rPr>
      </w:pPr>
      <w:r w:rsidRPr="00F16F8A">
        <w:rPr>
          <w:noProof/>
          <w:szCs w:val="24"/>
        </w:rPr>
        <w:t xml:space="preserve">Utami, B., Dwi, K., Gunawan, H., Febri, E., &amp; Rini, S. (2025). </w:t>
      </w:r>
      <w:r w:rsidRPr="00F16F8A">
        <w:rPr>
          <w:i/>
          <w:iCs/>
          <w:noProof/>
          <w:szCs w:val="24"/>
        </w:rPr>
        <w:t>The Implementation of Education for Sustainable Development ( ESD ) -Based Natural Science Learning to Empower Critical Thinking Skills and Scientific Literacy</w:t>
      </w:r>
      <w:r w:rsidRPr="00F16F8A">
        <w:rPr>
          <w:noProof/>
          <w:szCs w:val="24"/>
        </w:rPr>
        <w:t xml:space="preserve">. </w:t>
      </w:r>
      <w:r w:rsidRPr="00F16F8A">
        <w:rPr>
          <w:i/>
          <w:iCs/>
          <w:noProof/>
          <w:szCs w:val="24"/>
        </w:rPr>
        <w:t>11</w:t>
      </w:r>
      <w:r w:rsidRPr="00F16F8A">
        <w:rPr>
          <w:noProof/>
          <w:szCs w:val="24"/>
        </w:rPr>
        <w:t>(9), 313–320. https://doi.org/10.29303/jppipa.v11i9.12722</w:t>
      </w:r>
    </w:p>
    <w:p w14:paraId="3E2FDF4A" w14:textId="77777777" w:rsidR="00F16F8A" w:rsidRPr="00F16F8A" w:rsidRDefault="00F16F8A" w:rsidP="00F16F8A">
      <w:pPr>
        <w:widowControl w:val="0"/>
        <w:autoSpaceDE w:val="0"/>
        <w:autoSpaceDN w:val="0"/>
        <w:adjustRightInd w:val="0"/>
        <w:spacing w:after="40"/>
        <w:ind w:left="480" w:hanging="480"/>
        <w:jc w:val="both"/>
        <w:rPr>
          <w:noProof/>
        </w:rPr>
      </w:pPr>
      <w:r w:rsidRPr="00F16F8A">
        <w:rPr>
          <w:noProof/>
          <w:szCs w:val="24"/>
        </w:rPr>
        <w:t xml:space="preserve">Wang, H., &amp; Mangmeechai, A. (2021). </w:t>
      </w:r>
      <w:r w:rsidRPr="00F16F8A">
        <w:rPr>
          <w:i/>
          <w:iCs/>
          <w:noProof/>
          <w:szCs w:val="24"/>
        </w:rPr>
        <w:t>Understanding the Gap between Environmental Intention and Pro-Environmental Behavior towards the Waste Sorting and Management Policy of China</w:t>
      </w:r>
      <w:r w:rsidRPr="00F16F8A">
        <w:rPr>
          <w:noProof/>
          <w:szCs w:val="24"/>
        </w:rPr>
        <w:t>.</w:t>
      </w:r>
    </w:p>
    <w:p w14:paraId="423DA7C2" w14:textId="71DDBD06" w:rsidR="00F16F8A" w:rsidRDefault="00F16F8A" w:rsidP="00F16F8A">
      <w:pPr>
        <w:pBdr>
          <w:top w:val="nil"/>
          <w:left w:val="nil"/>
          <w:bottom w:val="nil"/>
          <w:right w:val="nil"/>
          <w:between w:val="nil"/>
        </w:pBdr>
        <w:spacing w:after="50"/>
        <w:ind w:left="720" w:hanging="720"/>
        <w:jc w:val="both"/>
        <w:rPr>
          <w:rFonts w:cs="Garamond"/>
          <w:color w:val="000000"/>
          <w:szCs w:val="24"/>
        </w:rPr>
      </w:pPr>
      <w:r>
        <w:rPr>
          <w:rFonts w:cs="Garamond"/>
          <w:color w:val="000000"/>
          <w:szCs w:val="24"/>
        </w:rPr>
        <w:fldChar w:fldCharType="end"/>
      </w:r>
    </w:p>
    <w:p w14:paraId="00000063" w14:textId="77777777" w:rsidR="00554F16" w:rsidRDefault="00554F16" w:rsidP="00F16F8A">
      <w:pPr>
        <w:pBdr>
          <w:top w:val="nil"/>
          <w:left w:val="nil"/>
          <w:bottom w:val="nil"/>
          <w:right w:val="nil"/>
          <w:between w:val="nil"/>
        </w:pBdr>
        <w:spacing w:after="50"/>
        <w:ind w:left="720" w:hanging="720"/>
        <w:jc w:val="both"/>
        <w:rPr>
          <w:rFonts w:cs="Garamond"/>
          <w:color w:val="000000"/>
          <w:szCs w:val="24"/>
        </w:rPr>
      </w:pPr>
    </w:p>
    <w:p w14:paraId="00000064" w14:textId="77777777" w:rsidR="00554F16" w:rsidRDefault="007E12B9" w:rsidP="00F16F8A">
      <w:pPr>
        <w:pBdr>
          <w:top w:val="nil"/>
          <w:left w:val="nil"/>
          <w:bottom w:val="nil"/>
          <w:right w:val="nil"/>
          <w:between w:val="nil"/>
        </w:pBdr>
        <w:tabs>
          <w:tab w:val="left" w:pos="1509"/>
        </w:tabs>
        <w:spacing w:after="50"/>
        <w:ind w:firstLine="0"/>
        <w:jc w:val="both"/>
        <w:rPr>
          <w:rFonts w:cs="Garamond"/>
          <w:color w:val="000000"/>
          <w:szCs w:val="24"/>
        </w:rPr>
      </w:pPr>
      <w:r>
        <w:rPr>
          <w:rFonts w:cs="Garamond"/>
          <w:color w:val="000000"/>
          <w:szCs w:val="24"/>
        </w:rPr>
        <w:tab/>
      </w:r>
    </w:p>
    <w:sectPr w:rsidR="00554F16">
      <w:headerReference w:type="even" r:id="rId14"/>
      <w:headerReference w:type="default" r:id="rId15"/>
      <w:footerReference w:type="even" r:id="rId16"/>
      <w:footerReference w:type="default" r:id="rId17"/>
      <w:footerReference w:type="first" r:id="rId18"/>
      <w:pgSz w:w="11907"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7E07" w14:textId="77777777" w:rsidR="005A7A5D" w:rsidRDefault="005A7A5D">
      <w:r>
        <w:separator/>
      </w:r>
    </w:p>
  </w:endnote>
  <w:endnote w:type="continuationSeparator" w:id="0">
    <w:p w14:paraId="02AD40C5" w14:textId="77777777" w:rsidR="005A7A5D" w:rsidRDefault="005A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401E523E" w:rsidR="00554F16" w:rsidRDefault="007E12B9">
    <w:pPr>
      <w:pBdr>
        <w:top w:val="nil"/>
        <w:left w:val="nil"/>
        <w:bottom w:val="nil"/>
        <w:right w:val="nil"/>
        <w:between w:val="nil"/>
      </w:pBdr>
      <w:tabs>
        <w:tab w:val="center" w:pos="4680"/>
        <w:tab w:val="right" w:pos="9360"/>
        <w:tab w:val="left" w:pos="0"/>
        <w:tab w:val="right" w:pos="9072"/>
      </w:tabs>
      <w:ind w:firstLine="0"/>
      <w:rPr>
        <w:rFonts w:cs="Garamond"/>
        <w:color w:val="000000"/>
        <w:sz w:val="22"/>
      </w:rPr>
    </w:pP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3E6CCE">
      <w:rPr>
        <w:rFonts w:cs="Garamond"/>
        <w:noProof/>
        <w:color w:val="000000"/>
        <w:szCs w:val="24"/>
      </w:rPr>
      <w:t>2</w:t>
    </w:r>
    <w:r>
      <w:rPr>
        <w:rFonts w:cs="Garamond"/>
        <w:color w:val="000000"/>
        <w:szCs w:val="24"/>
      </w:rPr>
      <w:fldChar w:fldCharType="end"/>
    </w:r>
    <w:r>
      <w:rPr>
        <w:rFonts w:cs="Garamond"/>
        <w:color w:val="000000"/>
        <w:szCs w:val="24"/>
      </w:rPr>
      <w:t xml:space="preserve"> </w:t>
    </w:r>
    <w:r>
      <w:rPr>
        <w:rFonts w:cs="Garamond"/>
        <w:color w:val="000000"/>
        <w:sz w:val="22"/>
      </w:rPr>
      <w:t xml:space="preserve"> |</w:t>
    </w:r>
    <w:r>
      <w:rPr>
        <w:rFonts w:cs="Garamond"/>
        <w:color w:val="000000"/>
        <w:sz w:val="22"/>
      </w:rPr>
      <w:tab/>
    </w:r>
    <w:r>
      <w:rPr>
        <w:rFonts w:cs="Garamond"/>
        <w:color w:val="000000"/>
        <w:sz w:val="20"/>
        <w:szCs w:val="20"/>
      </w:rPr>
      <w:t xml:space="preserve"> Journal of Natural Science and Integration, Vol. 2, No. 2, October 2019, pp 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26F6F080" w:rsidR="00554F16" w:rsidRDefault="007E12B9">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0"/>
        <w:szCs w:val="20"/>
      </w:rPr>
    </w:pPr>
    <w:r>
      <w:rPr>
        <w:rFonts w:cs="Garamond"/>
        <w:color w:val="000000"/>
        <w:sz w:val="20"/>
        <w:szCs w:val="20"/>
      </w:rPr>
      <w:t>Journal of Natural Science and Integration, Vol. 2, No. 2, October 2019, pp 1-</w:t>
    </w:r>
    <w:proofErr w:type="gramStart"/>
    <w:r>
      <w:rPr>
        <w:rFonts w:cs="Garamond"/>
        <w:color w:val="000000"/>
        <w:sz w:val="20"/>
        <w:szCs w:val="20"/>
      </w:rPr>
      <w:t>3</w:t>
    </w:r>
    <w:r>
      <w:rPr>
        <w:rFonts w:cs="Garamond"/>
        <w:i/>
        <w:color w:val="000000"/>
        <w:sz w:val="22"/>
      </w:rPr>
      <w:t xml:space="preserve"> </w:t>
    </w:r>
    <w:r>
      <w:rPr>
        <w:rFonts w:cs="Garamond"/>
        <w:color w:val="000000"/>
        <w:sz w:val="22"/>
      </w:rPr>
      <w:t xml:space="preserve"> </w:t>
    </w:r>
    <w:r>
      <w:rPr>
        <w:rFonts w:cs="Garamond"/>
        <w:color w:val="000000"/>
        <w:sz w:val="22"/>
      </w:rPr>
      <w:tab/>
    </w:r>
    <w:proofErr w:type="gramEnd"/>
    <w:r>
      <w:rPr>
        <w:rFonts w:cs="Garamond"/>
        <w:color w:val="000000"/>
        <w:sz w:val="22"/>
      </w:rPr>
      <w:t xml:space="preserve">| </w:t>
    </w:r>
    <w:r>
      <w:rPr>
        <w:rFonts w:cs="Garamond"/>
        <w:color w:val="000000"/>
        <w:szCs w:val="24"/>
      </w:rPr>
      <w:t xml:space="preserve"> </w:t>
    </w: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3E6CCE">
      <w:rPr>
        <w:rFonts w:cs="Garamond"/>
        <w:noProof/>
        <w:color w:val="000000"/>
        <w:szCs w:val="24"/>
      </w:rPr>
      <w:t>3</w:t>
    </w:r>
    <w:r>
      <w:rPr>
        <w:rFonts w:cs="Garamond"/>
        <w:color w:val="00000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4782487" w:rsidR="00554F16" w:rsidRDefault="007E12B9">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0"/>
        <w:szCs w:val="20"/>
      </w:rPr>
    </w:pPr>
    <w:r>
      <w:rPr>
        <w:rFonts w:cs="Garamond"/>
        <w:color w:val="000000"/>
        <w:sz w:val="20"/>
        <w:szCs w:val="20"/>
      </w:rPr>
      <w:t>Journal of Natural Science and Integration, Vol. 2, No. 2, October 2019, pp 1-</w:t>
    </w:r>
    <w:proofErr w:type="gramStart"/>
    <w:r>
      <w:rPr>
        <w:rFonts w:cs="Garamond"/>
        <w:color w:val="000000"/>
        <w:sz w:val="20"/>
        <w:szCs w:val="20"/>
      </w:rPr>
      <w:t>3</w:t>
    </w:r>
    <w:r>
      <w:rPr>
        <w:rFonts w:cs="Garamond"/>
        <w:i/>
        <w:color w:val="000000"/>
        <w:sz w:val="22"/>
      </w:rPr>
      <w:t xml:space="preserve"> </w:t>
    </w:r>
    <w:r>
      <w:rPr>
        <w:rFonts w:cs="Garamond"/>
        <w:color w:val="000000"/>
        <w:sz w:val="22"/>
      </w:rPr>
      <w:t xml:space="preserve"> </w:t>
    </w:r>
    <w:r>
      <w:rPr>
        <w:rFonts w:cs="Garamond"/>
        <w:color w:val="000000"/>
        <w:sz w:val="22"/>
      </w:rPr>
      <w:tab/>
    </w:r>
    <w:proofErr w:type="gramEnd"/>
    <w:r>
      <w:rPr>
        <w:rFonts w:cs="Garamond"/>
        <w:color w:val="000000"/>
        <w:sz w:val="22"/>
      </w:rPr>
      <w:t xml:space="preserve">|  </w:t>
    </w: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3E6CCE">
      <w:rPr>
        <w:rFonts w:cs="Garamond"/>
        <w:noProof/>
        <w:color w:val="000000"/>
        <w:szCs w:val="24"/>
      </w:rPr>
      <w:t>1</w:t>
    </w:r>
    <w:r>
      <w:rPr>
        <w:rFonts w:cs="Garamond"/>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1B5E" w14:textId="77777777" w:rsidR="005A7A5D" w:rsidRDefault="005A7A5D">
      <w:r>
        <w:separator/>
      </w:r>
    </w:p>
  </w:footnote>
  <w:footnote w:type="continuationSeparator" w:id="0">
    <w:p w14:paraId="43507F24" w14:textId="77777777" w:rsidR="005A7A5D" w:rsidRDefault="005A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554F16" w:rsidRDefault="007E12B9">
    <w:pPr>
      <w:pBdr>
        <w:top w:val="nil"/>
        <w:left w:val="nil"/>
        <w:bottom w:val="nil"/>
        <w:right w:val="nil"/>
        <w:between w:val="nil"/>
      </w:pBdr>
      <w:tabs>
        <w:tab w:val="center" w:pos="4680"/>
        <w:tab w:val="right" w:pos="9360"/>
      </w:tabs>
      <w:ind w:firstLine="0"/>
      <w:rPr>
        <w:rFonts w:cs="Garamond"/>
        <w:i/>
        <w:color w:val="000000"/>
        <w:sz w:val="20"/>
        <w:szCs w:val="20"/>
      </w:rPr>
    </w:pPr>
    <w:r>
      <w:rPr>
        <w:rFonts w:cs="Garamond"/>
        <w:i/>
        <w:color w:val="000000"/>
        <w:sz w:val="20"/>
        <w:szCs w:val="20"/>
      </w:rPr>
      <w:t>First Author, Second Author, Third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554F16" w:rsidRDefault="007E12B9">
    <w:pPr>
      <w:pBdr>
        <w:top w:val="nil"/>
        <w:left w:val="nil"/>
        <w:bottom w:val="nil"/>
        <w:right w:val="nil"/>
        <w:between w:val="nil"/>
      </w:pBdr>
      <w:tabs>
        <w:tab w:val="center" w:pos="4680"/>
        <w:tab w:val="right" w:pos="9360"/>
      </w:tabs>
      <w:ind w:firstLine="0"/>
      <w:jc w:val="right"/>
      <w:rPr>
        <w:rFonts w:cs="Garamond"/>
        <w:i/>
        <w:color w:val="000000"/>
        <w:sz w:val="20"/>
        <w:szCs w:val="20"/>
      </w:rPr>
    </w:pPr>
    <w:r>
      <w:rPr>
        <w:rFonts w:cs="Garamond"/>
        <w:i/>
        <w:color w:val="000000"/>
        <w:sz w:val="20"/>
        <w:szCs w:val="20"/>
      </w:rPr>
      <w:t xml:space="preserve"> The Title of Articles in English Should Describe </w:t>
    </w:r>
    <w:proofErr w:type="gramStart"/>
    <w:r>
      <w:rPr>
        <w:rFonts w:cs="Garamond"/>
        <w:i/>
        <w:color w:val="000000"/>
        <w:sz w:val="20"/>
        <w:szCs w:val="20"/>
      </w:rPr>
      <w:t>The</w:t>
    </w:r>
    <w:proofErr w:type="gramEnd"/>
    <w:r>
      <w:rPr>
        <w:rFonts w:cs="Garamond"/>
        <w:i/>
        <w:color w:val="000000"/>
        <w:sz w:val="20"/>
        <w:szCs w:val="20"/>
      </w:rPr>
      <w:t xml:space="preserve"> Main Content of Manuscripts, be Informative, Concise, and not too Wordy (12-15 words only), and does not Contain Formulas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53468"/>
    <w:multiLevelType w:val="multilevel"/>
    <w:tmpl w:val="91D03AF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16"/>
    <w:rsid w:val="000D0CD8"/>
    <w:rsid w:val="0036591C"/>
    <w:rsid w:val="003E360C"/>
    <w:rsid w:val="003E6CCE"/>
    <w:rsid w:val="00504F88"/>
    <w:rsid w:val="00554F16"/>
    <w:rsid w:val="00580137"/>
    <w:rsid w:val="005A7A5D"/>
    <w:rsid w:val="005D7C7A"/>
    <w:rsid w:val="00733404"/>
    <w:rsid w:val="007A77A1"/>
    <w:rsid w:val="007E12B9"/>
    <w:rsid w:val="0087601F"/>
    <w:rsid w:val="00A370CC"/>
    <w:rsid w:val="00A87A22"/>
    <w:rsid w:val="00AF4CB2"/>
    <w:rsid w:val="00C72EB8"/>
    <w:rsid w:val="00DE4ADB"/>
    <w:rsid w:val="00F16F8A"/>
    <w:rsid w:val="00F82D4F"/>
    <w:rsid w:val="00FB5515"/>
    <w:rsid w:val="00FD0A2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CB94F"/>
  <w15:docId w15:val="{E6FCA978-ED49-4FBF-A151-819513B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id-ID" w:eastAsia="en-ID"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rPr>
      <w:rFonts w:cs="Times New Roman"/>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6B"/>
    <w:pPr>
      <w:spacing w:after="300"/>
      <w:ind w:firstLine="0"/>
      <w:contextualSpacing/>
      <w:jc w:val="both"/>
    </w:pPr>
    <w:rPr>
      <w:rFonts w:eastAsiaTheme="majorEastAsia" w:cstheme="majorBidi"/>
      <w:b/>
      <w:spacing w:val="5"/>
      <w:kern w:val="28"/>
      <w:sz w:val="32"/>
      <w:szCs w:val="52"/>
    </w:rPr>
  </w:style>
  <w:style w:type="paragraph" w:styleId="ListParagraph">
    <w:name w:val="List Paragraph"/>
    <w:basedOn w:val="Normal"/>
    <w:link w:val="ListParagraphChar"/>
    <w:uiPriority w:val="34"/>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eastAsia="SimSun" w:cs="Times New Roman"/>
      <w:b/>
      <w:noProof/>
      <w:szCs w:val="16"/>
      <w:lang w:val="en-US" w:eastAsia="en-US"/>
    </w:rPr>
  </w:style>
  <w:style w:type="paragraph" w:customStyle="1" w:styleId="9xxReferences">
    <w:name w:val="9xx. References"/>
    <w:rsid w:val="00C43F03"/>
    <w:pPr>
      <w:spacing w:after="50"/>
      <w:ind w:left="720" w:hanging="720"/>
      <w:jc w:val="both"/>
    </w:pPr>
    <w:rPr>
      <w:rFonts w:eastAsia="MS Mincho" w:cs="Times New Roman"/>
      <w:noProof/>
      <w:szCs w:val="16"/>
      <w:lang w:eastAsia="en-US"/>
    </w:rPr>
  </w:style>
  <w:style w:type="paragraph" w:styleId="BodyText">
    <w:name w:val="Body Text"/>
    <w:aliases w:val="8. Body Text"/>
    <w:link w:val="BodyTextChar"/>
    <w:rsid w:val="00F340C4"/>
    <w:pPr>
      <w:spacing w:after="120"/>
      <w:ind w:firstLine="709"/>
      <w:jc w:val="both"/>
    </w:pPr>
    <w:rPr>
      <w:rFonts w:eastAsia="SimSun" w:cs="Times New Roman"/>
      <w:spacing w:val="-1"/>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eastAsia="SimSun"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cs="Times New Roman"/>
      <w:b/>
      <w:bCs/>
      <w:lang w:eastAsia="en-US"/>
    </w:rPr>
  </w:style>
  <w:style w:type="paragraph" w:customStyle="1" w:styleId="3Alamat-Address">
    <w:name w:val="3. Alamat - Address"/>
    <w:qFormat/>
    <w:rsid w:val="008866B3"/>
    <w:pPr>
      <w:ind w:left="1417" w:firstLine="1"/>
      <w:contextualSpacing/>
      <w:jc w:val="both"/>
    </w:pPr>
    <w:rPr>
      <w:rFonts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cs="Times New Roman"/>
      <w:lang w:eastAsia="en-US"/>
    </w:rPr>
  </w:style>
  <w:style w:type="paragraph" w:customStyle="1" w:styleId="8ParagrafAwal-FirstParagraph">
    <w:name w:val="8. Paragraf Awal -First Paragraph"/>
    <w:next w:val="BodyText"/>
    <w:qFormat/>
    <w:rsid w:val="00B70233"/>
    <w:pPr>
      <w:spacing w:after="120"/>
      <w:jc w:val="both"/>
    </w:pPr>
    <w:rPr>
      <w:rFonts w:cs="Times New Roman"/>
      <w:szCs w:val="22"/>
    </w:rPr>
  </w:style>
  <w:style w:type="paragraph" w:customStyle="1" w:styleId="1Judul-Title">
    <w:name w:val="1. Judul - Title"/>
    <w:next w:val="2Penulis-Author"/>
    <w:qFormat/>
    <w:rsid w:val="0007716B"/>
    <w:pPr>
      <w:spacing w:before="1440" w:after="240"/>
      <w:jc w:val="both"/>
    </w:pPr>
    <w:rPr>
      <w:rFonts w:cs="Times New Roman"/>
      <w:b/>
      <w:sz w:val="32"/>
      <w:szCs w:val="22"/>
      <w:lang w:eastAsia="en-US"/>
    </w:rPr>
  </w:style>
  <w:style w:type="paragraph" w:customStyle="1" w:styleId="4email-email">
    <w:name w:val="4.  email - email"/>
    <w:qFormat/>
    <w:rsid w:val="009A23F7"/>
    <w:pPr>
      <w:ind w:firstLine="1418"/>
    </w:pPr>
    <w:rPr>
      <w:rFonts w:cs="Times New Roman"/>
      <w:iCs/>
      <w:lang w:eastAsia="en-US"/>
    </w:rPr>
  </w:style>
  <w:style w:type="paragraph" w:customStyle="1" w:styleId="8ParagrafLanjut">
    <w:name w:val="8. Paragraf Lanjut"/>
    <w:qFormat/>
    <w:rsid w:val="004973E0"/>
    <w:pPr>
      <w:spacing w:after="120"/>
      <w:ind w:firstLine="720"/>
      <w:jc w:val="both"/>
    </w:pPr>
    <w:rPr>
      <w:rFonts w:eastAsia="SimSun" w:cs="Times New Roman"/>
      <w:spacing w:val="-1"/>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Strong">
    <w:name w:val="Strong"/>
    <w:basedOn w:val="DefaultParagraphFont"/>
    <w:uiPriority w:val="22"/>
    <w:qFormat/>
    <w:rsid w:val="00C02BD1"/>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2160" w:hanging="360"/>
      <w:jc w:val="both"/>
    </w:pPr>
    <w:rPr>
      <w:color w:val="000000"/>
      <w:sz w:val="22"/>
      <w:szCs w:val="22"/>
    </w:rPr>
    <w:tblPr>
      <w:tblStyleRowBandSize w:val="1"/>
      <w:tblStyleColBandSize w:val="1"/>
    </w:tblPr>
  </w:style>
  <w:style w:type="table" w:styleId="GridTable1Light-Accent3">
    <w:name w:val="Grid Table 1 Light Accent 3"/>
    <w:basedOn w:val="TableNormal"/>
    <w:uiPriority w:val="46"/>
    <w:rsid w:val="00504F88"/>
    <w:pPr>
      <w:ind w:firstLine="0"/>
    </w:pPr>
    <w:rPr>
      <w:rFonts w:asciiTheme="minorHAnsi" w:eastAsiaTheme="minorHAnsi" w:hAnsiTheme="minorHAnsi" w:cstheme="minorBidi"/>
      <w:sz w:val="22"/>
      <w:szCs w:val="22"/>
      <w:lang w:val="en-ID"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1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2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10" Type="http://schemas.microsoft.com/office/2014/relationships/chartEx" Target="charts/chartEx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Sekripsi%20Tria\Data%20Hasil%20Preliminary.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Sheet1!$U$6:$U$28</cx:f>
        <cx:lvl ptCount="23" formatCode="General">
          <cx:pt idx="0">74</cx:pt>
          <cx:pt idx="1">69</cx:pt>
          <cx:pt idx="2">41</cx:pt>
          <cx:pt idx="3">49</cx:pt>
          <cx:pt idx="4">36</cx:pt>
          <cx:pt idx="5">71</cx:pt>
          <cx:pt idx="6">90</cx:pt>
          <cx:pt idx="7">89</cx:pt>
          <cx:pt idx="8">90</cx:pt>
          <cx:pt idx="9">88</cx:pt>
          <cx:pt idx="10">97</cx:pt>
          <cx:pt idx="11">97</cx:pt>
          <cx:pt idx="12">92</cx:pt>
          <cx:pt idx="13">81</cx:pt>
          <cx:pt idx="14">86</cx:pt>
          <cx:pt idx="15">77</cx:pt>
          <cx:pt idx="16">100</cx:pt>
          <cx:pt idx="17">88</cx:pt>
          <cx:pt idx="18">71</cx:pt>
          <cx:pt idx="19">88</cx:pt>
          <cx:pt idx="20">85</cx:pt>
          <cx:pt idx="21">74</cx:pt>
          <cx:pt idx="22">77</cx:pt>
        </cx:lvl>
      </cx:numDim>
    </cx:data>
  </cx:chartData>
  <cx:chart>
    <cx:title pos="t" align="ctr" overlay="0">
      <cx:tx>
        <cx:rich>
          <a:bodyPr spcFirstLastPara="1" vertOverflow="ellipsis" horzOverflow="overflow" wrap="square" lIns="0" tIns="0" rIns="0" bIns="0" anchor="ctr" anchorCtr="1"/>
          <a:lstStyle/>
          <a:p>
            <a:pPr algn="ctr" rtl="0">
              <a:defRPr sz="1000">
                <a:latin typeface="Times New Roman - Arab" panose="020B0603050302020204" pitchFamily="34" charset="0"/>
                <a:ea typeface="Times New Roman - Arab" panose="020B0603050302020204" pitchFamily="34" charset="0"/>
                <a:cs typeface="Times New Roman - Arab" panose="020B0603050302020204" pitchFamily="34" charset="0"/>
              </a:defRPr>
            </a:pPr>
            <a:r>
              <a:rPr lang="en-US" sz="1000" b="0" i="0" u="none" strike="noStrike" baseline="0">
                <a:solidFill>
                  <a:sysClr val="windowText" lastClr="000000">
                    <a:lumMod val="65000"/>
                    <a:lumOff val="35000"/>
                  </a:sysClr>
                </a:solidFill>
                <a:latin typeface="Times New Roman - Arab" panose="020B0603050302020204" pitchFamily="34" charset="0"/>
              </a:rPr>
              <a:t>Data </a:t>
            </a:r>
            <a:r>
              <a:rPr lang="en-US" sz="1000" b="0" i="1" u="none" strike="noStrike" baseline="0">
                <a:solidFill>
                  <a:sysClr val="windowText" lastClr="000000">
                    <a:lumMod val="65000"/>
                    <a:lumOff val="35000"/>
                  </a:sysClr>
                </a:solidFill>
                <a:latin typeface="Times New Roman - Arab" panose="020B0603050302020204" pitchFamily="34" charset="0"/>
              </a:rPr>
              <a:t>Preliminary</a:t>
            </a:r>
            <a:endParaRPr lang="en-US" sz="1000" b="0" i="0" u="none" strike="noStrike" baseline="0">
              <a:solidFill>
                <a:sysClr val="windowText" lastClr="000000">
                  <a:lumMod val="65000"/>
                  <a:lumOff val="35000"/>
                </a:sysClr>
              </a:solidFill>
              <a:latin typeface="Times New Roman - Arab" panose="020B0603050302020204" pitchFamily="34" charset="0"/>
            </a:endParaRPr>
          </a:p>
        </cx:rich>
      </cx:tx>
    </cx:title>
    <cx:plotArea>
      <cx:plotAreaRegion>
        <cx:series layoutId="boxWhisker" uniqueId="{89192B0F-13F2-4447-9292-C53265D1EA6A}">
          <cx:tx>
            <cx:txData>
              <cx:f>Sheet1!$U$5</cx:f>
              <cx:v>MA Al-Islam Joresan (XI IPA)</cx:v>
            </cx:txData>
          </cx:tx>
          <cx:dataId val="0"/>
          <cx:layoutPr>
            <cx:visibility meanLine="0" meanMarker="1" nonoutliers="0" outliers="1"/>
            <cx:statistics quartileMethod="exclusive"/>
          </cx:layoutPr>
        </cx:series>
      </cx:plotAreaRegion>
      <cx:axis id="0" hidden="1">
        <cx:catScaling gapWidth="1"/>
        <cx:tickLabels/>
        <cx:txPr>
          <a:bodyPr vertOverflow="overflow" horzOverflow="overflow" wrap="square" lIns="0" tIns="0" rIns="0" bIns="0"/>
          <a:lstStyle/>
          <a:p>
            <a:pPr algn="ctr" rtl="0">
              <a:defRPr sz="1000" b="0" i="0">
                <a:solidFill>
                  <a:srgbClr val="595959"/>
                </a:solidFill>
                <a:latin typeface="Times New Roman - Arab" panose="020B0603050302020204" pitchFamily="34" charset="0"/>
                <a:ea typeface="Times New Roman - Arab" panose="020B0603050302020204" pitchFamily="34" charset="0"/>
                <a:cs typeface="Times New Roman - Arab" panose="020B0603050302020204" pitchFamily="34" charset="0"/>
              </a:defRPr>
            </a:pPr>
            <a:endParaRPr lang="en-ID" sz="1000">
              <a:latin typeface="Times New Roman - Arab" panose="020B0603050302020204" pitchFamily="34" charset="0"/>
            </a:endParaRPr>
          </a:p>
        </cx:txPr>
      </cx:axis>
      <cx:axis id="1">
        <cx:valScaling/>
        <cx:majorGridlines/>
        <cx:tickLabels/>
        <cx:txPr>
          <a:bodyPr vertOverflow="overflow" horzOverflow="overflow" wrap="square" lIns="0" tIns="0" rIns="0" bIns="0"/>
          <a:lstStyle/>
          <a:p>
            <a:pPr algn="ctr" rtl="0">
              <a:defRPr sz="1000" b="0" i="0">
                <a:solidFill>
                  <a:srgbClr val="595959"/>
                </a:solidFill>
                <a:latin typeface="Times New Roman - Arab" panose="020B0603050302020204" pitchFamily="34" charset="0"/>
                <a:ea typeface="Times New Roman - Arab" panose="020B0603050302020204" pitchFamily="34" charset="0"/>
                <a:cs typeface="Times New Roman - Arab" panose="020B0603050302020204" pitchFamily="34" charset="0"/>
              </a:defRPr>
            </a:pPr>
            <a:endParaRPr lang="en-ID" sz="1000">
              <a:latin typeface="Times New Roman - Arab" panose="020B0603050302020204" pitchFamily="34" charset="0"/>
            </a:endParaRPr>
          </a:p>
        </cx:txPr>
      </cx:axis>
    </cx:plotArea>
    <cx:legend pos="b" align="ctr" overlay="0">
      <cx:txPr>
        <a:bodyPr vertOverflow="overflow" horzOverflow="overflow" wrap="square" lIns="0" tIns="0" rIns="0" bIns="0"/>
        <a:lstStyle/>
        <a:p>
          <a:pPr algn="ctr" rtl="0">
            <a:defRPr sz="1000" b="0" i="0">
              <a:solidFill>
                <a:srgbClr val="595959"/>
              </a:solidFill>
              <a:latin typeface="Times New Roman - Arab" panose="020B0603050302020204" pitchFamily="34" charset="0"/>
              <a:ea typeface="Times New Roman - Arab" panose="020B0603050302020204" pitchFamily="34" charset="0"/>
              <a:cs typeface="Times New Roman - Arab" panose="020B0603050302020204" pitchFamily="34" charset="0"/>
            </a:defRPr>
          </a:pPr>
          <a:endParaRPr lang="en-ID" sz="1000">
            <a:latin typeface="Times New Roman - Arab" panose="020B0603050302020204" pitchFamily="34" charset="0"/>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xIXNvkRUA+malp0gGlrcVmYRFA==">AMUW2mWyU4A6gnfphYB8OzOZM772b4urTEnChcNRLhHjUdLfCO2orqimdAmAkR744Vz1NdSF1OwiNYd+nRA79tUQb+hCThSFYlTyM20naa4R26ISxnAFfnUR0rxzSl7ISltVqhkdDkjW</go:docsCustomData>
</go:gDocsCustomXmlDataStorage>
</file>

<file path=customXml/itemProps1.xml><?xml version="1.0" encoding="utf-8"?>
<ds:datastoreItem xmlns:ds="http://schemas.openxmlformats.org/officeDocument/2006/customXml" ds:itemID="{E412CEDE-1A59-4CF2-AAB4-EFF90FCED2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9155</Words>
  <Characters>52184</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RESULT AND DISCUSSION</vt:lpstr>
      <vt:lpstr>REFERENCES</vt:lpstr>
    </vt:vector>
  </TitlesOfParts>
  <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Tria</cp:lastModifiedBy>
  <cp:revision>8</cp:revision>
  <dcterms:created xsi:type="dcterms:W3CDTF">2018-12-19T01:51:00Z</dcterms:created>
  <dcterms:modified xsi:type="dcterms:W3CDTF">2026-03-17T03:42:00Z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9876f8bb-d48c-30ff-8905-51ec02c69bd4</vt:lpwstr>
  </property>
</Properties>
</file>