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49EB" w14:textId="77777777" w:rsidR="007D0019" w:rsidRPr="007D0019" w:rsidRDefault="007D0019" w:rsidP="007D0019">
      <w:pPr>
        <w:pStyle w:val="Title"/>
        <w:rPr>
          <w:iCs/>
          <w:sz w:val="32"/>
          <w:szCs w:val="32"/>
        </w:rPr>
      </w:pPr>
      <w:r w:rsidRPr="007D0019">
        <w:rPr>
          <w:iCs/>
          <w:sz w:val="32"/>
          <w:szCs w:val="32"/>
        </w:rPr>
        <w:t xml:space="preserve">Development of a Mental Health Identification </w:t>
      </w:r>
    </w:p>
    <w:p w14:paraId="64C5B873" w14:textId="77777777" w:rsidR="007D0019" w:rsidRPr="007D0019" w:rsidRDefault="007D0019" w:rsidP="007D0019">
      <w:pPr>
        <w:pStyle w:val="Title"/>
        <w:rPr>
          <w:iCs/>
          <w:sz w:val="32"/>
          <w:szCs w:val="32"/>
        </w:rPr>
      </w:pPr>
      <w:r w:rsidRPr="007D0019">
        <w:rPr>
          <w:iCs/>
          <w:sz w:val="32"/>
          <w:szCs w:val="32"/>
        </w:rPr>
        <w:t>Pattern Model for Generation Z with Random Forest, SVM, and Logistic Regression Approaches</w:t>
      </w:r>
    </w:p>
    <w:p w14:paraId="2A973A13" w14:textId="77777777" w:rsidR="00250A66" w:rsidRPr="003D5B84" w:rsidRDefault="00250A66" w:rsidP="007D0019">
      <w:pPr>
        <w:rPr>
          <w:b/>
          <w:bCs/>
        </w:rPr>
      </w:pPr>
    </w:p>
    <w:p w14:paraId="069BC425" w14:textId="4C1896D2" w:rsidR="00904D6D" w:rsidRPr="00D74C5F" w:rsidRDefault="0033719B" w:rsidP="0033719B">
      <w:pPr>
        <w:jc w:val="center"/>
        <w:rPr>
          <w:b/>
          <w:bCs/>
        </w:rPr>
      </w:pPr>
      <w:r w:rsidRPr="0033719B">
        <w:rPr>
          <w:b/>
          <w:bCs/>
          <w:vertAlign w:val="superscript"/>
        </w:rPr>
        <w:t>1</w:t>
      </w:r>
      <w:r w:rsidR="00EE023B">
        <w:rPr>
          <w:b/>
          <w:bCs/>
          <w:lang w:val="id-ID"/>
        </w:rPr>
        <w:t>Sri Retnowati</w:t>
      </w:r>
      <w:r w:rsidR="00E12660" w:rsidRPr="003D5B84">
        <w:rPr>
          <w:b/>
          <w:bCs/>
          <w:lang w:val="id-ID"/>
        </w:rPr>
        <w:t xml:space="preserve">, </w:t>
      </w:r>
      <w:r w:rsidRPr="0033719B">
        <w:rPr>
          <w:b/>
          <w:bCs/>
          <w:vertAlign w:val="superscript"/>
        </w:rPr>
        <w:t>2</w:t>
      </w:r>
      <w:r w:rsidR="00E12660" w:rsidRPr="003D5B84">
        <w:rPr>
          <w:b/>
          <w:bCs/>
          <w:lang w:val="id-ID"/>
        </w:rPr>
        <w:t>S</w:t>
      </w:r>
      <w:r w:rsidR="00EE023B">
        <w:rPr>
          <w:b/>
          <w:bCs/>
          <w:lang w:val="id-ID"/>
        </w:rPr>
        <w:t>iti Aisyah</w:t>
      </w:r>
    </w:p>
    <w:p w14:paraId="20C07FBB" w14:textId="3B502D3F" w:rsidR="00A17296" w:rsidRDefault="0033719B" w:rsidP="0033719B">
      <w:pPr>
        <w:jc w:val="center"/>
        <w:rPr>
          <w:sz w:val="18"/>
          <w:szCs w:val="18"/>
        </w:rPr>
      </w:pPr>
      <w:r>
        <w:rPr>
          <w:sz w:val="18"/>
          <w:szCs w:val="18"/>
          <w:vertAlign w:val="superscript"/>
        </w:rPr>
        <w:t>1,2</w:t>
      </w:r>
      <w:r w:rsidR="00E2599A" w:rsidRPr="00E2599A">
        <w:rPr>
          <w:sz w:val="18"/>
          <w:szCs w:val="18"/>
        </w:rPr>
        <w:t>D</w:t>
      </w:r>
      <w:r w:rsidR="00EE023B">
        <w:rPr>
          <w:sz w:val="18"/>
          <w:szCs w:val="18"/>
        </w:rPr>
        <w:t>a</w:t>
      </w:r>
      <w:r w:rsidR="00E2599A" w:rsidRPr="00E2599A">
        <w:rPr>
          <w:sz w:val="18"/>
          <w:szCs w:val="18"/>
        </w:rPr>
        <w:t>t</w:t>
      </w:r>
      <w:r w:rsidR="00EE023B">
        <w:rPr>
          <w:sz w:val="18"/>
          <w:szCs w:val="18"/>
        </w:rPr>
        <w:t>a Science Program Study</w:t>
      </w:r>
      <w:r w:rsidR="00B02CBC">
        <w:rPr>
          <w:sz w:val="18"/>
          <w:szCs w:val="18"/>
        </w:rPr>
        <w:t xml:space="preserve">, Universitas </w:t>
      </w:r>
      <w:proofErr w:type="spellStart"/>
      <w:r w:rsidR="00B02CBC">
        <w:rPr>
          <w:sz w:val="18"/>
          <w:szCs w:val="18"/>
        </w:rPr>
        <w:t>Insan</w:t>
      </w:r>
      <w:proofErr w:type="spellEnd"/>
      <w:r w:rsidR="00B02CBC">
        <w:rPr>
          <w:sz w:val="18"/>
          <w:szCs w:val="18"/>
        </w:rPr>
        <w:t xml:space="preserve"> Cita Indonesia</w:t>
      </w:r>
      <w:r w:rsidR="00E2599A" w:rsidRPr="00E2599A">
        <w:rPr>
          <w:sz w:val="18"/>
          <w:szCs w:val="18"/>
        </w:rPr>
        <w:t xml:space="preserve"> </w:t>
      </w:r>
    </w:p>
    <w:p w14:paraId="1F2401B1" w14:textId="19ECAC10" w:rsidR="0033719B" w:rsidRPr="00E2599A" w:rsidRDefault="0033719B" w:rsidP="0033719B">
      <w:pPr>
        <w:jc w:val="center"/>
        <w:rPr>
          <w:sz w:val="18"/>
          <w:szCs w:val="18"/>
        </w:rPr>
      </w:pPr>
      <w:r>
        <w:rPr>
          <w:sz w:val="18"/>
          <w:szCs w:val="18"/>
        </w:rPr>
        <w:t xml:space="preserve">Email: </w:t>
      </w:r>
      <w:r w:rsidRPr="0033719B">
        <w:rPr>
          <w:sz w:val="18"/>
          <w:szCs w:val="18"/>
          <w:vertAlign w:val="superscript"/>
        </w:rPr>
        <w:t>1</w:t>
      </w:r>
      <w:r w:rsidR="00B02CBC">
        <w:rPr>
          <w:sz w:val="18"/>
          <w:szCs w:val="18"/>
        </w:rPr>
        <w:t>sriretnowati919@gmail.com</w:t>
      </w:r>
      <w:r>
        <w:rPr>
          <w:sz w:val="18"/>
          <w:szCs w:val="18"/>
        </w:rPr>
        <w:t xml:space="preserve">, </w:t>
      </w:r>
      <w:r w:rsidRPr="0033719B">
        <w:rPr>
          <w:sz w:val="18"/>
          <w:szCs w:val="18"/>
          <w:vertAlign w:val="superscript"/>
        </w:rPr>
        <w:t>2</w:t>
      </w:r>
      <w:r w:rsidR="00B02CBC" w:rsidRPr="00B02CBC">
        <w:rPr>
          <w:sz w:val="18"/>
          <w:szCs w:val="18"/>
        </w:rPr>
        <w:t>aisyah.uici@gmail.com</w:t>
      </w:r>
    </w:p>
    <w:p w14:paraId="4361A4DD" w14:textId="77777777" w:rsidR="00C07BEF" w:rsidRDefault="00C07BEF" w:rsidP="0033719B">
      <w:pPr>
        <w:jc w:val="center"/>
      </w:pPr>
    </w:p>
    <w:tbl>
      <w:tblPr>
        <w:tblStyle w:val="TableGrid"/>
        <w:tblW w:w="8897" w:type="dxa"/>
        <w:tblLook w:val="04A0" w:firstRow="1" w:lastRow="0" w:firstColumn="1" w:lastColumn="0" w:noHBand="0" w:noVBand="1"/>
      </w:tblPr>
      <w:tblGrid>
        <w:gridCol w:w="2802"/>
        <w:gridCol w:w="283"/>
        <w:gridCol w:w="5812"/>
      </w:tblGrid>
      <w:tr w:rsidR="006B027E" w14:paraId="2928A189" w14:textId="77777777" w:rsidTr="00C07BEF">
        <w:tc>
          <w:tcPr>
            <w:tcW w:w="2802" w:type="dxa"/>
            <w:tcBorders>
              <w:top w:val="double" w:sz="4" w:space="0" w:color="auto"/>
              <w:left w:val="nil"/>
              <w:bottom w:val="single" w:sz="4" w:space="0" w:color="auto"/>
              <w:right w:val="nil"/>
            </w:tcBorders>
          </w:tcPr>
          <w:p w14:paraId="13FE89A8" w14:textId="77777777" w:rsidR="00957C11" w:rsidRPr="00957C11" w:rsidRDefault="00957C11" w:rsidP="0033719B">
            <w:pPr>
              <w:jc w:val="both"/>
              <w:rPr>
                <w:b/>
              </w:rPr>
            </w:pPr>
            <w:r w:rsidRPr="00957C11">
              <w:rPr>
                <w:b/>
              </w:rPr>
              <w:t>Article Info</w:t>
            </w:r>
          </w:p>
        </w:tc>
        <w:tc>
          <w:tcPr>
            <w:tcW w:w="283" w:type="dxa"/>
            <w:tcBorders>
              <w:top w:val="double" w:sz="4" w:space="0" w:color="auto"/>
              <w:left w:val="nil"/>
              <w:bottom w:val="nil"/>
              <w:right w:val="nil"/>
            </w:tcBorders>
          </w:tcPr>
          <w:p w14:paraId="26F39D91" w14:textId="77777777" w:rsidR="00957C11" w:rsidRDefault="00957C11" w:rsidP="0033719B">
            <w:pPr>
              <w:jc w:val="center"/>
            </w:pPr>
          </w:p>
        </w:tc>
        <w:tc>
          <w:tcPr>
            <w:tcW w:w="5812" w:type="dxa"/>
            <w:tcBorders>
              <w:top w:val="double" w:sz="4" w:space="0" w:color="auto"/>
              <w:left w:val="nil"/>
              <w:bottom w:val="single" w:sz="4" w:space="0" w:color="auto"/>
              <w:right w:val="nil"/>
            </w:tcBorders>
          </w:tcPr>
          <w:p w14:paraId="6AF08B9B" w14:textId="6853F37E" w:rsidR="00957C11" w:rsidRPr="000A371B" w:rsidRDefault="00957C11" w:rsidP="0033719B">
            <w:pPr>
              <w:rPr>
                <w:color w:val="000000"/>
              </w:rPr>
            </w:pPr>
            <w:r w:rsidRPr="000A371B">
              <w:rPr>
                <w:b/>
                <w:bCs/>
                <w:iCs/>
                <w:color w:val="000000"/>
              </w:rPr>
              <w:t xml:space="preserve">ABSTRACT </w:t>
            </w:r>
          </w:p>
        </w:tc>
      </w:tr>
      <w:tr w:rsidR="00941203" w14:paraId="5FA96581" w14:textId="77777777" w:rsidTr="00C07BEF">
        <w:trPr>
          <w:trHeight w:val="1268"/>
        </w:trPr>
        <w:tc>
          <w:tcPr>
            <w:tcW w:w="2802" w:type="dxa"/>
            <w:tcBorders>
              <w:top w:val="single" w:sz="4" w:space="0" w:color="auto"/>
              <w:left w:val="nil"/>
              <w:bottom w:val="single" w:sz="4" w:space="0" w:color="auto"/>
              <w:right w:val="nil"/>
            </w:tcBorders>
          </w:tcPr>
          <w:p w14:paraId="16C9D1B9" w14:textId="77777777" w:rsidR="00941203" w:rsidRPr="007F286F" w:rsidRDefault="00941203" w:rsidP="0033719B">
            <w:pPr>
              <w:jc w:val="both"/>
              <w:rPr>
                <w:b/>
                <w:i/>
              </w:rPr>
            </w:pPr>
            <w:r w:rsidRPr="007F286F">
              <w:rPr>
                <w:b/>
                <w:i/>
              </w:rPr>
              <w:t>Article history:</w:t>
            </w:r>
          </w:p>
          <w:p w14:paraId="577F6E96" w14:textId="77777777" w:rsidR="00941203" w:rsidRPr="00646F1E" w:rsidRDefault="00941203" w:rsidP="0033719B">
            <w:pPr>
              <w:jc w:val="both"/>
              <w:rPr>
                <w:lang w:val="id-ID"/>
              </w:rPr>
            </w:pPr>
            <w:r w:rsidRPr="00957C11">
              <w:t>Received</w:t>
            </w:r>
            <w:r w:rsidR="00646F1E">
              <w:t xml:space="preserve"> </w:t>
            </w:r>
            <w:r w:rsidR="00646F1E">
              <w:rPr>
                <w:lang w:val="id-ID"/>
              </w:rPr>
              <w:t>May</w:t>
            </w:r>
            <w:r>
              <w:t xml:space="preserve"> 12</w:t>
            </w:r>
            <w:r w:rsidRPr="00957C11">
              <w:rPr>
                <w:vertAlign w:val="superscript"/>
              </w:rPr>
              <w:t>th</w:t>
            </w:r>
            <w:r w:rsidR="00646F1E">
              <w:t>, 20</w:t>
            </w:r>
            <w:r w:rsidR="0033719B">
              <w:t>19</w:t>
            </w:r>
          </w:p>
          <w:p w14:paraId="4EC25C2A" w14:textId="77777777" w:rsidR="00941203" w:rsidRPr="00646F1E" w:rsidRDefault="00646F1E" w:rsidP="0033719B">
            <w:pPr>
              <w:jc w:val="both"/>
              <w:rPr>
                <w:lang w:val="id-ID"/>
              </w:rPr>
            </w:pPr>
            <w:r>
              <w:t xml:space="preserve">Revised </w:t>
            </w:r>
            <w:r>
              <w:rPr>
                <w:lang w:val="id-ID"/>
              </w:rPr>
              <w:t>Jun</w:t>
            </w:r>
            <w:r w:rsidR="00941203">
              <w:t xml:space="preserve"> 20</w:t>
            </w:r>
            <w:r w:rsidR="00941203" w:rsidRPr="00957C11">
              <w:rPr>
                <w:vertAlign w:val="superscript"/>
              </w:rPr>
              <w:t>th</w:t>
            </w:r>
            <w:r w:rsidR="0033719B">
              <w:t>, 2020</w:t>
            </w:r>
          </w:p>
          <w:p w14:paraId="115691C6" w14:textId="77777777" w:rsidR="00941203" w:rsidRPr="00646F1E" w:rsidRDefault="00646F1E" w:rsidP="0033719B">
            <w:pPr>
              <w:jc w:val="both"/>
              <w:rPr>
                <w:lang w:val="id-ID"/>
              </w:rPr>
            </w:pPr>
            <w:r>
              <w:t xml:space="preserve">Accepted </w:t>
            </w:r>
            <w:r>
              <w:rPr>
                <w:lang w:val="id-ID"/>
              </w:rPr>
              <w:t>Jul</w:t>
            </w:r>
            <w:r w:rsidR="00941203">
              <w:t xml:space="preserve"> 26</w:t>
            </w:r>
            <w:r w:rsidR="00941203" w:rsidRPr="00957C11">
              <w:rPr>
                <w:vertAlign w:val="superscript"/>
              </w:rPr>
              <w:t>th</w:t>
            </w:r>
            <w:r w:rsidR="0033719B">
              <w:t>, 2020</w:t>
            </w:r>
          </w:p>
          <w:p w14:paraId="41231C97" w14:textId="77777777" w:rsidR="00941203" w:rsidRPr="00957C11" w:rsidRDefault="00941203" w:rsidP="0033719B">
            <w:pPr>
              <w:jc w:val="both"/>
            </w:pPr>
          </w:p>
        </w:tc>
        <w:tc>
          <w:tcPr>
            <w:tcW w:w="283" w:type="dxa"/>
            <w:vMerge w:val="restart"/>
            <w:tcBorders>
              <w:top w:val="nil"/>
              <w:left w:val="nil"/>
              <w:bottom w:val="nil"/>
              <w:right w:val="nil"/>
            </w:tcBorders>
          </w:tcPr>
          <w:p w14:paraId="7B0CA784" w14:textId="77777777" w:rsidR="00941203" w:rsidRDefault="00941203" w:rsidP="0033719B">
            <w:pPr>
              <w:jc w:val="both"/>
            </w:pPr>
          </w:p>
        </w:tc>
        <w:tc>
          <w:tcPr>
            <w:tcW w:w="5812" w:type="dxa"/>
            <w:vMerge w:val="restart"/>
            <w:tcBorders>
              <w:top w:val="single" w:sz="4" w:space="0" w:color="auto"/>
              <w:left w:val="nil"/>
              <w:bottom w:val="nil"/>
              <w:right w:val="nil"/>
            </w:tcBorders>
          </w:tcPr>
          <w:p w14:paraId="3EAC2786" w14:textId="77777777" w:rsidR="008C6C18" w:rsidRPr="008C6C18" w:rsidRDefault="008C6C18" w:rsidP="008C6C18">
            <w:pPr>
              <w:jc w:val="both"/>
              <w:rPr>
                <w:iCs/>
                <w:color w:val="000000"/>
              </w:rPr>
            </w:pPr>
            <w:r w:rsidRPr="008C6C18">
              <w:rPr>
                <w:iCs/>
                <w:color w:val="000000"/>
              </w:rPr>
              <w:t>Mental health issues such as stress, anxiety, and trauma have become significant challenges, particularly among Generation Z. The lack of effective early detection tools has hindered efforts to address these problems promptly and accurately. This study aims to develop a machine learning-based classification model to detect potential mental health conditions using standardized psychological instruments: DASS-21, STAI, and ACE. Data was collected from 733 youth aged 17–24, with 212 participants showing signs of risk. After cleaning and preprocessing, 58 features were retained from an initial 92. Several machine learning models—Logistic Regression, Support Vector Machine (SVM), and Random Forest—were tested using class balancing techniques such as SMOTE and class weighting. Evaluation metrics included accuracy, recall, precision, F1-score, and ROC AUC. Logistic Regression achieved the highest performance, with 94% accuracy, 100% recall, 82% precision, and an F1-score of 0.90. The ROC AUC reached 99.5%, indicating excellent discriminative power. This research highlights the effectiveness of machine learning in providing early detection of mental health conditions and supports its integration into scalable, technology-based mental health screening tools, especially for youth populations at risk.</w:t>
            </w:r>
          </w:p>
          <w:p w14:paraId="2F836AEA" w14:textId="47C1376D" w:rsidR="008C6C18" w:rsidRPr="0033719B" w:rsidRDefault="008C6C18" w:rsidP="0033719B">
            <w:pPr>
              <w:jc w:val="both"/>
            </w:pPr>
          </w:p>
        </w:tc>
      </w:tr>
      <w:tr w:rsidR="00941203" w14:paraId="2888E89A" w14:textId="77777777" w:rsidTr="00C07BEF">
        <w:trPr>
          <w:trHeight w:val="1231"/>
        </w:trPr>
        <w:tc>
          <w:tcPr>
            <w:tcW w:w="2802" w:type="dxa"/>
            <w:vMerge w:val="restart"/>
            <w:tcBorders>
              <w:top w:val="single" w:sz="4" w:space="0" w:color="auto"/>
              <w:left w:val="nil"/>
              <w:bottom w:val="single" w:sz="4" w:space="0" w:color="auto"/>
              <w:right w:val="nil"/>
            </w:tcBorders>
          </w:tcPr>
          <w:p w14:paraId="00A7DF2F" w14:textId="77777777" w:rsidR="00941203" w:rsidRPr="007F286F" w:rsidRDefault="00941203" w:rsidP="0033719B">
            <w:pPr>
              <w:jc w:val="both"/>
              <w:rPr>
                <w:b/>
                <w:i/>
              </w:rPr>
            </w:pPr>
            <w:r w:rsidRPr="007F286F">
              <w:rPr>
                <w:b/>
                <w:i/>
              </w:rPr>
              <w:t>Keyword:</w:t>
            </w:r>
          </w:p>
          <w:p w14:paraId="5480A559" w14:textId="77777777" w:rsidR="002C6C57" w:rsidRDefault="002C6C57" w:rsidP="002C6C57">
            <w:pPr>
              <w:jc w:val="both"/>
            </w:pPr>
            <w:r>
              <w:t>Mental</w:t>
            </w:r>
          </w:p>
          <w:p w14:paraId="2395C328" w14:textId="77777777" w:rsidR="002C6C57" w:rsidRDefault="002C6C57" w:rsidP="002C6C57">
            <w:pPr>
              <w:jc w:val="both"/>
            </w:pPr>
            <w:r>
              <w:t>Generation Z</w:t>
            </w:r>
          </w:p>
          <w:p w14:paraId="56EA551A" w14:textId="77777777" w:rsidR="002C6C57" w:rsidRDefault="002C6C57" w:rsidP="002C6C57">
            <w:pPr>
              <w:jc w:val="both"/>
            </w:pPr>
            <w:r>
              <w:t>Random Forest</w:t>
            </w:r>
          </w:p>
          <w:p w14:paraId="6710CD3F" w14:textId="77777777" w:rsidR="002C6C57" w:rsidRDefault="002C6C57" w:rsidP="002C6C57">
            <w:pPr>
              <w:jc w:val="both"/>
            </w:pPr>
            <w:r>
              <w:t xml:space="preserve">SVM </w:t>
            </w:r>
          </w:p>
          <w:p w14:paraId="458AEF15" w14:textId="73BE5005" w:rsidR="002C6C57" w:rsidRPr="00622A2B" w:rsidRDefault="002C6C57" w:rsidP="002C6C57">
            <w:pPr>
              <w:jc w:val="both"/>
            </w:pPr>
            <w:r>
              <w:t xml:space="preserve">Logistic Regression </w:t>
            </w:r>
          </w:p>
          <w:p w14:paraId="6EAFB392" w14:textId="0A9EC66D" w:rsidR="00941203" w:rsidRPr="007F286F" w:rsidRDefault="00941203" w:rsidP="00011448">
            <w:pPr>
              <w:jc w:val="both"/>
              <w:rPr>
                <w:b/>
                <w:i/>
              </w:rPr>
            </w:pPr>
          </w:p>
        </w:tc>
        <w:tc>
          <w:tcPr>
            <w:tcW w:w="283" w:type="dxa"/>
            <w:vMerge/>
            <w:tcBorders>
              <w:top w:val="nil"/>
              <w:left w:val="nil"/>
              <w:bottom w:val="nil"/>
              <w:right w:val="nil"/>
            </w:tcBorders>
          </w:tcPr>
          <w:p w14:paraId="6588CEC4" w14:textId="77777777" w:rsidR="00941203" w:rsidRDefault="00941203" w:rsidP="0033719B">
            <w:pPr>
              <w:jc w:val="both"/>
            </w:pPr>
          </w:p>
        </w:tc>
        <w:tc>
          <w:tcPr>
            <w:tcW w:w="5812" w:type="dxa"/>
            <w:vMerge/>
            <w:tcBorders>
              <w:top w:val="nil"/>
              <w:left w:val="nil"/>
              <w:bottom w:val="nil"/>
              <w:right w:val="nil"/>
            </w:tcBorders>
          </w:tcPr>
          <w:p w14:paraId="4C71103E" w14:textId="77777777" w:rsidR="00941203" w:rsidRPr="00957C11" w:rsidRDefault="00941203" w:rsidP="0033719B">
            <w:pPr>
              <w:jc w:val="both"/>
              <w:rPr>
                <w:iCs/>
                <w:color w:val="000000"/>
                <w:sz w:val="18"/>
                <w:szCs w:val="18"/>
              </w:rPr>
            </w:pPr>
          </w:p>
        </w:tc>
      </w:tr>
      <w:tr w:rsidR="00941203" w14:paraId="33F124B1" w14:textId="77777777" w:rsidTr="00C07BEF">
        <w:trPr>
          <w:trHeight w:val="70"/>
        </w:trPr>
        <w:tc>
          <w:tcPr>
            <w:tcW w:w="2802" w:type="dxa"/>
            <w:vMerge/>
            <w:tcBorders>
              <w:top w:val="single" w:sz="4" w:space="0" w:color="auto"/>
              <w:left w:val="nil"/>
              <w:bottom w:val="single" w:sz="4" w:space="0" w:color="auto"/>
              <w:right w:val="nil"/>
            </w:tcBorders>
          </w:tcPr>
          <w:p w14:paraId="275019C3" w14:textId="77777777" w:rsidR="00941203" w:rsidRPr="007F286F" w:rsidRDefault="00941203" w:rsidP="0033719B">
            <w:pPr>
              <w:jc w:val="both"/>
              <w:rPr>
                <w:b/>
                <w:i/>
              </w:rPr>
            </w:pPr>
          </w:p>
        </w:tc>
        <w:tc>
          <w:tcPr>
            <w:tcW w:w="283" w:type="dxa"/>
            <w:vMerge/>
            <w:tcBorders>
              <w:top w:val="nil"/>
              <w:left w:val="nil"/>
              <w:bottom w:val="nil"/>
              <w:right w:val="nil"/>
            </w:tcBorders>
          </w:tcPr>
          <w:p w14:paraId="46F9220F" w14:textId="77777777" w:rsidR="00941203" w:rsidRDefault="00941203" w:rsidP="0033719B">
            <w:pPr>
              <w:jc w:val="both"/>
            </w:pPr>
          </w:p>
        </w:tc>
        <w:tc>
          <w:tcPr>
            <w:tcW w:w="5812" w:type="dxa"/>
            <w:tcBorders>
              <w:top w:val="nil"/>
              <w:left w:val="nil"/>
              <w:bottom w:val="single" w:sz="4" w:space="0" w:color="auto"/>
              <w:right w:val="nil"/>
            </w:tcBorders>
          </w:tcPr>
          <w:p w14:paraId="5E9C7995" w14:textId="77777777" w:rsidR="00941203" w:rsidRPr="003F2371" w:rsidRDefault="00C01111" w:rsidP="00C01111">
            <w:pPr>
              <w:jc w:val="right"/>
              <w:rPr>
                <w:i/>
                <w:iCs/>
                <w:color w:val="000000"/>
                <w:sz w:val="18"/>
                <w:szCs w:val="18"/>
              </w:rPr>
            </w:pPr>
            <w:r>
              <w:rPr>
                <w:i/>
                <w:iCs/>
                <w:color w:val="000000"/>
              </w:rPr>
              <w:t>Copyright © 2022</w:t>
            </w:r>
            <w:r w:rsidR="0033719B" w:rsidRPr="00365EAA">
              <w:rPr>
                <w:i/>
                <w:iCs/>
                <w:color w:val="000000"/>
                <w:lang w:val="id-ID"/>
              </w:rPr>
              <w:t xml:space="preserve"> Puzzle Research Data Technology</w:t>
            </w:r>
          </w:p>
        </w:tc>
      </w:tr>
      <w:tr w:rsidR="007F286F" w14:paraId="321100DA" w14:textId="77777777" w:rsidTr="00C07BEF">
        <w:tc>
          <w:tcPr>
            <w:tcW w:w="8897" w:type="dxa"/>
            <w:gridSpan w:val="3"/>
            <w:tcBorders>
              <w:top w:val="nil"/>
              <w:left w:val="nil"/>
              <w:bottom w:val="double" w:sz="4" w:space="0" w:color="auto"/>
              <w:right w:val="nil"/>
            </w:tcBorders>
          </w:tcPr>
          <w:p w14:paraId="451972CB" w14:textId="77777777" w:rsidR="0033719B" w:rsidRDefault="0033719B" w:rsidP="0033719B">
            <w:pPr>
              <w:rPr>
                <w:b/>
                <w:i/>
              </w:rPr>
            </w:pPr>
          </w:p>
          <w:p w14:paraId="7C559D13" w14:textId="77777777" w:rsidR="007F286F" w:rsidRPr="007F286F" w:rsidRDefault="007F286F" w:rsidP="0033719B">
            <w:pPr>
              <w:rPr>
                <w:b/>
                <w:i/>
              </w:rPr>
            </w:pPr>
            <w:r w:rsidRPr="007F286F">
              <w:rPr>
                <w:b/>
                <w:i/>
              </w:rPr>
              <w:t>Corresponding Author:</w:t>
            </w:r>
            <w:r w:rsidR="000A371B">
              <w:rPr>
                <w:b/>
                <w:i/>
              </w:rPr>
              <w:t xml:space="preserve"> (10</w:t>
            </w:r>
            <w:r w:rsidR="00E82793">
              <w:rPr>
                <w:b/>
                <w:i/>
              </w:rPr>
              <w:t xml:space="preserve"> </w:t>
            </w:r>
            <w:r w:rsidR="000A371B">
              <w:rPr>
                <w:b/>
                <w:i/>
              </w:rPr>
              <w:t>pt)</w:t>
            </w:r>
          </w:p>
          <w:p w14:paraId="7B77DF1B" w14:textId="77777777" w:rsidR="007F286F" w:rsidRDefault="007F286F" w:rsidP="0033719B">
            <w:r>
              <w:t xml:space="preserve">Third Author, </w:t>
            </w:r>
          </w:p>
          <w:p w14:paraId="40B6FCBB" w14:textId="77777777" w:rsidR="007F286F" w:rsidRDefault="007F286F" w:rsidP="0033719B">
            <w:proofErr w:type="spellStart"/>
            <w:r>
              <w:t>Departement</w:t>
            </w:r>
            <w:proofErr w:type="spellEnd"/>
            <w:r>
              <w:t xml:space="preserve"> of Electrical and Computer Engineering</w:t>
            </w:r>
            <w:r w:rsidR="00941203">
              <w:t>,</w:t>
            </w:r>
          </w:p>
          <w:p w14:paraId="470A5764" w14:textId="77777777" w:rsidR="007F286F" w:rsidRDefault="007F286F" w:rsidP="0033719B">
            <w:r>
              <w:t>National Chung Cheng University</w:t>
            </w:r>
            <w:r w:rsidR="00941203">
              <w:t>,</w:t>
            </w:r>
          </w:p>
          <w:p w14:paraId="72C77FC6" w14:textId="77777777" w:rsidR="007F286F" w:rsidRDefault="007F286F" w:rsidP="0033719B">
            <w:r>
              <w:t xml:space="preserve">168 University Road, </w:t>
            </w:r>
            <w:proofErr w:type="spellStart"/>
            <w:r>
              <w:t>Minhsiung</w:t>
            </w:r>
            <w:proofErr w:type="spellEnd"/>
            <w:r>
              <w:t xml:space="preserve"> Township, Chiayi County 62102, Taiwan, ROC</w:t>
            </w:r>
            <w:r w:rsidR="00941203">
              <w:t>.</w:t>
            </w:r>
          </w:p>
          <w:p w14:paraId="6A7DD712" w14:textId="77777777" w:rsidR="00941203" w:rsidRDefault="00941203" w:rsidP="0033719B">
            <w:r>
              <w:t xml:space="preserve">Email: </w:t>
            </w:r>
            <w:r w:rsidR="0033719B">
              <w:t>thirdauthor@uin-suska.ac.id</w:t>
            </w:r>
            <w:hyperlink r:id="rId8" w:history="1"/>
          </w:p>
          <w:p w14:paraId="78B0CF63" w14:textId="77777777" w:rsidR="0033719B" w:rsidRPr="009E4C21" w:rsidRDefault="0033719B" w:rsidP="0033719B">
            <w:pPr>
              <w:jc w:val="right"/>
              <w:rPr>
                <w:color w:val="000000"/>
              </w:rPr>
            </w:pPr>
            <w:r w:rsidRPr="009E4C21">
              <w:rPr>
                <w:b/>
                <w:color w:val="000000"/>
              </w:rPr>
              <w:t xml:space="preserve">DOI: </w:t>
            </w:r>
            <w:r w:rsidR="00E82793" w:rsidRPr="00E82793">
              <w:rPr>
                <w:b/>
                <w:color w:val="000000"/>
              </w:rPr>
              <w:t>http://dx.doi.org/10.24014/ijaidm.v2i2.xxxx (10</w:t>
            </w:r>
            <w:r w:rsidR="00E82793">
              <w:rPr>
                <w:b/>
                <w:color w:val="000000"/>
              </w:rPr>
              <w:t xml:space="preserve"> </w:t>
            </w:r>
            <w:r w:rsidR="009E4C21">
              <w:rPr>
                <w:b/>
                <w:color w:val="000000"/>
              </w:rPr>
              <w:t>pt)</w:t>
            </w:r>
          </w:p>
        </w:tc>
      </w:tr>
    </w:tbl>
    <w:p w14:paraId="515A76A6" w14:textId="77777777" w:rsidR="00C07BEF" w:rsidRPr="00957C11" w:rsidRDefault="00C07BEF" w:rsidP="0033719B">
      <w:pPr>
        <w:jc w:val="both"/>
      </w:pPr>
    </w:p>
    <w:p w14:paraId="168694C6" w14:textId="121E08BA" w:rsidR="00904D6D" w:rsidRPr="00956EB6" w:rsidRDefault="00F33C08" w:rsidP="0033719B">
      <w:pPr>
        <w:numPr>
          <w:ilvl w:val="0"/>
          <w:numId w:val="15"/>
        </w:numPr>
        <w:tabs>
          <w:tab w:val="left" w:pos="426"/>
        </w:tabs>
        <w:ind w:left="426" w:hanging="426"/>
        <w:rPr>
          <w:b/>
          <w:bCs/>
          <w:lang w:val="id-ID"/>
        </w:rPr>
      </w:pPr>
      <w:r w:rsidRPr="00956EB6">
        <w:rPr>
          <w:b/>
          <w:bCs/>
          <w:lang w:val="id-ID"/>
        </w:rPr>
        <w:t>INTRODUCTION</w:t>
      </w:r>
      <w:r>
        <w:rPr>
          <w:b/>
          <w:bCs/>
        </w:rPr>
        <w:t xml:space="preserve"> </w:t>
      </w:r>
    </w:p>
    <w:p w14:paraId="5D9E548A" w14:textId="7304B4A7" w:rsidR="008C6C18" w:rsidRPr="008C6C18" w:rsidRDefault="008C6C18" w:rsidP="008C6C18">
      <w:pPr>
        <w:ind w:firstLine="720"/>
        <w:jc w:val="both"/>
        <w:rPr>
          <w:lang w:val="id-ID"/>
        </w:rPr>
      </w:pPr>
      <w:r w:rsidRPr="008C6C18">
        <w:rPr>
          <w:lang w:val="id-ID"/>
        </w:rPr>
        <w:t>Mental illness is one of the most pressing global health issues in the modern era. More than 300 million people, or about 4.4% of the world's population, struggle with depression</w:t>
      </w:r>
      <w:r w:rsidR="00EE023B">
        <w:rPr>
          <w:lang w:val="id-ID"/>
        </w:rPr>
        <w:t xml:space="preserve"> </w:t>
      </w:r>
      <w:r w:rsidR="00EE023B">
        <w:rPr>
          <w:lang w:val="id-ID"/>
        </w:rPr>
        <w:fldChar w:fldCharType="begin" w:fldLock="1"/>
      </w:r>
      <w:r w:rsidR="00407C59">
        <w:rPr>
          <w:lang w:val="id-ID"/>
        </w:rPr>
        <w:instrText>ADDIN CSL_CITATION {"citationItems":[{"id":"ITEM-1","itemData":{"author":[{"dropping-particle":"","family":"Organization","given":"World Health","non-dropping-particle":"","parse-names":false,"suffix":""}],"container-title":"WHO Press","id":"ITEM-1","issued":{"date-parts":[["2023"]]},"title":"Depression and Other Common Mental Disorders: Global Health Estimates","type":"article-journal"},"uris":["http://www.mendeley.com/documents/?uuid=e9e9be73-ac26-4658-94ee-b47a4b9eb69e"]}],"mendeley":{"formattedCitation":"[1]","plainTextFormattedCitation":"[1]","previouslyFormattedCitation":"[1]"},"properties":{"noteIndex":0},"schema":"https://github.com/citation-style-language/schema/raw/master/csl-citation.json"}</w:instrText>
      </w:r>
      <w:r w:rsidR="00EE023B">
        <w:rPr>
          <w:lang w:val="id-ID"/>
        </w:rPr>
        <w:fldChar w:fldCharType="separate"/>
      </w:r>
      <w:r w:rsidR="00EE023B" w:rsidRPr="00EE023B">
        <w:rPr>
          <w:noProof/>
          <w:lang w:val="id-ID"/>
        </w:rPr>
        <w:t>[1]</w:t>
      </w:r>
      <w:r w:rsidR="00EE023B">
        <w:rPr>
          <w:lang w:val="id-ID"/>
        </w:rPr>
        <w:fldChar w:fldCharType="end"/>
      </w:r>
      <w:r w:rsidRPr="008C6C18">
        <w:rPr>
          <w:lang w:val="id-ID"/>
        </w:rPr>
        <w:t xml:space="preserve">. A recent survey from Indonesia National Adolescent Mental Health Survey (I-NAMHS) found that around 5.5% of adolescents aged 10-17 years were diagnosed with a mental disorder in the past 12 months, while around one-third had at least one mental health problem </w:t>
      </w:r>
      <w:r w:rsidR="00407C59">
        <w:rPr>
          <w:lang w:val="id-ID"/>
        </w:rPr>
        <w:fldChar w:fldCharType="begin" w:fldLock="1"/>
      </w:r>
      <w:r w:rsidR="00407C59">
        <w:rPr>
          <w:lang w:val="id-ID"/>
        </w:rPr>
        <w:instrText>ADDIN CSL_CITATION {"citationItems":[{"id":"ITEM-1","itemData":{"author":[{"dropping-particle":"","family":"Health","given":"Indonesian Ministry of","non-dropping-particle":"","parse-names":false,"suffix":""}],"container-title":"Jakarta: Kementerian Kesehatan RI.","id":"ITEM-1","issued":{"date-parts":[["2022"]]},"title":"Indonesia National Adolescent Mental Health Survey (I-NAMHS)","type":"article-journal"},"uris":["http://www.mendeley.com/documents/?uuid=1629d149-d64a-4074-b8ac-c7daf3910179"]}],"mendeley":{"formattedCitation":"[2]","plainTextFormattedCitation":"[2]","previouslyFormattedCitation":"[2]"},"properties":{"noteIndex":0},"schema":"https://github.com/citation-style-language/schema/raw/master/csl-citation.json"}</w:instrText>
      </w:r>
      <w:r w:rsidR="00407C59">
        <w:rPr>
          <w:lang w:val="id-ID"/>
        </w:rPr>
        <w:fldChar w:fldCharType="separate"/>
      </w:r>
      <w:r w:rsidR="00407C59" w:rsidRPr="00407C59">
        <w:rPr>
          <w:noProof/>
          <w:lang w:val="id-ID"/>
        </w:rPr>
        <w:t>[2]</w:t>
      </w:r>
      <w:r w:rsidR="00407C59">
        <w:rPr>
          <w:lang w:val="id-ID"/>
        </w:rPr>
        <w:fldChar w:fldCharType="end"/>
      </w:r>
      <w:r w:rsidRPr="008C6C18">
        <w:rPr>
          <w:lang w:val="id-ID"/>
        </w:rPr>
        <w:t>. Indonesia's population at the end of 2022 reached 277.75 million, with a dominant adolescent age group. This group falls into the category of adolescents and productive age</w:t>
      </w:r>
      <w:r w:rsidR="00407C59">
        <w:rPr>
          <w:lang w:val="id-ID"/>
        </w:rPr>
        <w:t xml:space="preserve"> </w:t>
      </w:r>
      <w:r w:rsidR="00407C59">
        <w:rPr>
          <w:lang w:val="id-ID"/>
        </w:rPr>
        <w:fldChar w:fldCharType="begin" w:fldLock="1"/>
      </w:r>
      <w:r w:rsidR="00407C59">
        <w:rPr>
          <w:lang w:val="id-ID"/>
        </w:rPr>
        <w:instrText>ADDIN CSL_CITATION {"citationItems":[{"id":"ITEM-1","itemData":{"author":[{"dropping-particle":"","family":"Statistik","given":"Badan Pusat","non-dropping-particle":"","parse-names":false,"suffix":""}],"container-title":"Jakarta: BPS","id":"ITEM-1","issued":{"date-parts":[["2023"]]},"title":"Statistik Indonesia 2023: Keadaan Penduduk Indonesia","type":"article-journal"},"uris":["http://www.mendeley.com/documents/?uuid=c777e185-ac5b-43e0-af7c-759527dabeca"]}],"mendeley":{"formattedCitation":"[3]","plainTextFormattedCitation":"[3]","previouslyFormattedCitation":"[3]"},"properties":{"noteIndex":0},"schema":"https://github.com/citation-style-language/schema/raw/master/csl-citation.json"}</w:instrText>
      </w:r>
      <w:r w:rsidR="00407C59">
        <w:rPr>
          <w:lang w:val="id-ID"/>
        </w:rPr>
        <w:fldChar w:fldCharType="separate"/>
      </w:r>
      <w:r w:rsidR="00407C59" w:rsidRPr="00407C59">
        <w:rPr>
          <w:noProof/>
          <w:lang w:val="id-ID"/>
        </w:rPr>
        <w:t>[3]</w:t>
      </w:r>
      <w:r w:rsidR="00407C59">
        <w:rPr>
          <w:lang w:val="id-ID"/>
        </w:rPr>
        <w:fldChar w:fldCharType="end"/>
      </w:r>
      <w:r w:rsidRPr="008C6C18">
        <w:rPr>
          <w:lang w:val="id-ID"/>
        </w:rPr>
        <w:t>. In the Indonesian context, the population is dominated by Generation Z, which is at high risk of experiencing mental health problems due to increasingly complex academic, social, and digital environmental pressures</w:t>
      </w:r>
      <w:r w:rsidR="00407C59">
        <w:rPr>
          <w:lang w:val="id-ID"/>
        </w:rPr>
        <w:t xml:space="preserve"> </w:t>
      </w:r>
      <w:r w:rsidR="00407C59">
        <w:rPr>
          <w:lang w:val="id-ID"/>
        </w:rPr>
        <w:fldChar w:fldCharType="begin" w:fldLock="1"/>
      </w:r>
      <w:r w:rsidR="001F7B8B">
        <w:rPr>
          <w:lang w:val="id-ID"/>
        </w:rPr>
        <w:instrText>ADDIN CSL_CITATION {"citationItems":[{"id":"ITEM-1","itemData":{"author":[{"dropping-particle":"","family":"Twenge, J. M., Spitzberg, B. H., &amp; Campbell","given":"W. K.","non-dropping-particle":"","parse-names":false,"suffix":""}],"container-title":"Journal of Social and Personal Relationships","id":"ITEM-1","issue":"6","issued":{"date-parts":[["2019"]]},"page":"1892-1913","title":"Less in-person social interaction with peers among U.S. adolescents in the 21st century and links to loneliness.","type":"article-journal","volume":"36"},"uris":["http://www.mendeley.com/documents/?uuid=4a053fd6-d284-4917-a501-55d3e687c9b7"]}],"mendeley":{"formattedCitation":"[4]","plainTextFormattedCitation":"[4]","previouslyFormattedCitation":"[4]"},"properties":{"noteIndex":0},"schema":"https://github.com/citation-style-language/schema/raw/master/csl-citation.json"}</w:instrText>
      </w:r>
      <w:r w:rsidR="00407C59">
        <w:rPr>
          <w:lang w:val="id-ID"/>
        </w:rPr>
        <w:fldChar w:fldCharType="separate"/>
      </w:r>
      <w:r w:rsidR="00407C59" w:rsidRPr="00407C59">
        <w:rPr>
          <w:noProof/>
          <w:lang w:val="id-ID"/>
        </w:rPr>
        <w:t>[4]</w:t>
      </w:r>
      <w:r w:rsidR="00407C59">
        <w:rPr>
          <w:lang w:val="id-ID"/>
        </w:rPr>
        <w:fldChar w:fldCharType="end"/>
      </w:r>
      <w:r w:rsidRPr="008C6C18">
        <w:rPr>
          <w:lang w:val="id-ID"/>
        </w:rPr>
        <w:t xml:space="preserve">. </w:t>
      </w:r>
    </w:p>
    <w:p w14:paraId="1E1E1D6F" w14:textId="77777777" w:rsidR="008C6C18" w:rsidRPr="008C6C18" w:rsidRDefault="008C6C18" w:rsidP="008C6C18">
      <w:pPr>
        <w:ind w:firstLine="720"/>
        <w:jc w:val="both"/>
        <w:rPr>
          <w:lang w:val="id-ID"/>
        </w:rPr>
      </w:pPr>
      <w:r w:rsidRPr="008C6C18">
        <w:rPr>
          <w:lang w:val="id-ID"/>
        </w:rPr>
        <w:t xml:space="preserve">However, despite the growing recognition of the importance of addressing the mental health of this generation, traditional approaches to handling mental health issues are often ineffective and insufficiently responsive to contemporary developments. One of the main obstacles is the lack of objective and efficient detection tools to identify mental health disorders in Generation Z at an early stage. Therefore, innovative </w:t>
      </w:r>
      <w:r w:rsidRPr="008C6C18">
        <w:rPr>
          <w:lang w:val="id-ID"/>
        </w:rPr>
        <w:lastRenderedPageBreak/>
        <w:t>solutions are needed that can provide more accurate and faster results. The big data-based approach with a machine learning classification model is a solution for detecting mental health problems in the younger generation in real time. Methods such as Random Forest, Support Vector Machine (SVM), and Logistic Regression are used in this study, which aims to develop a model that can analyze mental health data that is more accurate and faster regarding a person's mental health condition. Based on the research results, in the initial stage, 523 respondent data were collected, but only 2 (0.38%) were at risk, resulting in a very unbalanced class distribution. The data was then increased to 733 with 212 respondents at risk (≈30%), making it more representative. Of the 92 variables, after cleaning and feature selection, 58 variables remained.</w:t>
      </w:r>
    </w:p>
    <w:p w14:paraId="045BE300" w14:textId="77777777" w:rsidR="008C6C18" w:rsidRDefault="008C6C18" w:rsidP="008C6C18">
      <w:pPr>
        <w:ind w:firstLine="720"/>
        <w:jc w:val="both"/>
        <w:rPr>
          <w:lang w:val="id-ID"/>
        </w:rPr>
      </w:pPr>
      <w:r w:rsidRPr="008C6C18">
        <w:rPr>
          <w:lang w:val="id-ID"/>
        </w:rPr>
        <w:t>Three algorithms were used: Logistic Regression, SVM, and Random Forest with SMOTE and class_weight techniques to overcome the imbalance. The test results showed an accuracy of 93–94%, recall of 100%, and an F1 Score of 0.90. Logistic Regression was chosen as the best model because it balanced accuracy, stability, and complexity.</w:t>
      </w:r>
    </w:p>
    <w:p w14:paraId="70DF6054" w14:textId="5DEFF469" w:rsidR="008C6C18" w:rsidRPr="008C6C18" w:rsidRDefault="008C6C18" w:rsidP="008C6C18">
      <w:pPr>
        <w:ind w:firstLine="720"/>
        <w:jc w:val="both"/>
        <w:rPr>
          <w:lang w:val="id-ID"/>
        </w:rPr>
      </w:pPr>
      <w:r w:rsidRPr="008C6C18">
        <w:rPr>
          <w:lang w:val="id-ID"/>
        </w:rPr>
        <w:t xml:space="preserve">Mental illnesses such as stress, trauma, and anxiety are the highest factors that damage mental health. Stress measurements and heart rate variability (HRV) metrics were used to evaluate changes in psychological stress </w:t>
      </w:r>
      <w:r w:rsidR="001F7B8B">
        <w:rPr>
          <w:lang w:val="id-ID"/>
        </w:rPr>
        <w:fldChar w:fldCharType="begin" w:fldLock="1"/>
      </w:r>
      <w:r w:rsidR="001F7B8B">
        <w:rPr>
          <w:lang w:val="id-ID"/>
        </w:rPr>
        <w:instrText>ADDIN CSL_CITATION {"citationItems":[{"id":"ITEM-1","itemData":{"DOI":"10.1159/000530376","ISSN":"14230224","PMID":"37290411","abstract":"The utility of heart rate variability (HRV) for characterizing psychological stress is primarily impacted by methodological considerations such as study populations, experienced versus induced stress, and method of stress assessment. Here, we review studies on the associations between HRV and psychological stress, examining the nature of stress, ways stress was assessed, and HRV metrics used. The review was performed according to the PRISMA guidelines on select databases. Studies that examined the HRV-stress relationship via repeated measurements and validated psychometric instruments were included (n = 15). Participant numbers and ages ranged between 10 and 403 subjects and 18 and 60 years, respectively. Both experimental (n = 9) and real-life stress (n = 6) have been explored. While RMSSD was the most reported HRV metric (n = 10) significantly associated with stress, other metrics, including LF/HF (n = 7) and HF power (n = 6) were also reported. Various linear and nonlinear HRV metrics have been utilized, with nonlinear metrics used less often. The most frequently used psychometric instrument was the State-Trait Anxiety Inventory (n = 10), though various other instruments have been reported. In conclusion, HRV is a valid measure of the psychological stress response. Standard stress induction and assessment protocols combined with validated HRV measures in different domains will improve the validity of findings.","author":[{"dropping-particle":"","family":"Immanuel","given":"Sarah","non-dropping-particle":"","parse-names":false,"suffix":""},{"dropping-particle":"","family":"Teferra","given":"Meseret N.","non-dropping-particle":"","parse-names":false,"suffix":""},{"dropping-particle":"","family":"Baumert","given":"Mathias","non-dropping-particle":"","parse-names":false,"suffix":""},{"dropping-particle":"","family":"Bidargaddi","given":"Niranjan","non-dropping-particle":"","parse-names":false,"suffix":""}],"container-title":"Neuropsychobiology","id":"ITEM-1","issue":"4","issued":{"date-parts":[["2023"]]},"page":"187-202","title":"Heart Rate Variability for Evaluating Psychological Stress Changes in Healthy Adults: A Scoping Review","type":"article-journal","volume":"82"},"uris":["http://www.mendeley.com/documents/?uuid=9e67e8e5-cf46-49fa-8770-0241d11e684a"]}],"mendeley":{"formattedCitation":"[5]","plainTextFormattedCitation":"[5]","previouslyFormattedCitation":"[5]"},"properties":{"noteIndex":0},"schema":"https://github.com/citation-style-language/schema/raw/master/csl-citation.json"}</w:instrText>
      </w:r>
      <w:r w:rsidR="001F7B8B">
        <w:rPr>
          <w:lang w:val="id-ID"/>
        </w:rPr>
        <w:fldChar w:fldCharType="separate"/>
      </w:r>
      <w:r w:rsidR="001F7B8B" w:rsidRPr="001F7B8B">
        <w:rPr>
          <w:noProof/>
          <w:lang w:val="id-ID"/>
        </w:rPr>
        <w:t>[5]</w:t>
      </w:r>
      <w:r w:rsidR="001F7B8B">
        <w:rPr>
          <w:lang w:val="id-ID"/>
        </w:rPr>
        <w:fldChar w:fldCharType="end"/>
      </w:r>
      <w:r w:rsidRPr="008C6C18">
        <w:rPr>
          <w:lang w:val="id-ID"/>
        </w:rPr>
        <w:t xml:space="preserve">. A meta-analysis and literature review were conducted to determine the relationship between stress and heart rate variability (HRV) as an indicator of psychological stress </w:t>
      </w:r>
      <w:r w:rsidR="001F7B8B">
        <w:rPr>
          <w:lang w:val="id-ID"/>
        </w:rPr>
        <w:fldChar w:fldCharType="begin" w:fldLock="1"/>
      </w:r>
      <w:r w:rsidR="001F7B8B">
        <w:rPr>
          <w:lang w:val="id-ID"/>
        </w:rPr>
        <w:instrText>ADDIN CSL_CITATION {"citationItems":[{"id":"ITEM-1","itemData":{"DOI":"10.30773/pi.2017.08.17","ISSN":"19763026","abstract":"Objective Physical or mental imbalance caused by harmful stimuli can induce stress to maintain homeostasis. During chronic stress, the sympathetic nervous system is hyperactivated, causing physical, psychological, and behavioral abnormalities. At present, there is no accepted standard for stress evaluation. This review aimed to survey studies providing a rationale for selecting heart rate variability (HRV) as a psychological stress indicator. Methods Term searches in the Web of Science®, National Library of Medicine (PubMed), and Google Scholar databases yielded 37 publications meeting our criteria. The inclusion criteria were involvement of human participants, HRV as an objective psychological stress measure, and measured HRV reactivity. Results In most studies, HRV variables changed in response to stress induced by various methods. The most frequently reported factor associated with variation in HRV variables was low parasympathetic activity, which is characterized by a decrease in the high-frequency band and an increase in the low-frequency band. Neuroimaging studies suggested that HRV may be linked to cortical regions (e.g., the ventromedial prefrontal cortex) that are involved in stressful situation appraisal. Conclusion In conclusion, the current neurobiological evidence suggests that HRV is impacted by stress and supports its use for the ob-jective assessment of psychological health and stress.","author":[{"dropping-particle":"","family":"Kim","given":"Hye Geum","non-dropping-particle":"","parse-names":false,"suffix":""},{"dropping-particle":"","family":"Cheon","given":"Eun Jin","non-dropping-particle":"","parse-names":false,"suffix":""},{"dropping-particle":"","family":"Bai","given":"Dai Seg","non-dropping-particle":"","parse-names":false,"suffix":""},{"dropping-particle":"","family":"Lee","given":"Young Hwan","non-dropping-particle":"","parse-names":false,"suffix":""},{"dropping-particle":"","family":"Koo","given":"Bon Hoon","non-dropping-particle":"","parse-names":false,"suffix":""}],"container-title":"Psychiatry Investigation","id":"ITEM-1","issue":"3","issued":{"date-parts":[["2018"]]},"page":"235-245","title":"Stress and heart rate variability: A meta-analysis and review of the literature","type":"article-journal","volume":"15"},"uris":["http://www.mendeley.com/documents/?uuid=f31e9061-7bbb-4bd7-922f-0f563c578585"]}],"mendeley":{"formattedCitation":"[6]","plainTextFormattedCitation":"[6]","previouslyFormattedCitation":"[6]"},"properties":{"noteIndex":0},"schema":"https://github.com/citation-style-language/schema/raw/master/csl-citation.json"}</w:instrText>
      </w:r>
      <w:r w:rsidR="001F7B8B">
        <w:rPr>
          <w:lang w:val="id-ID"/>
        </w:rPr>
        <w:fldChar w:fldCharType="separate"/>
      </w:r>
      <w:r w:rsidR="001F7B8B" w:rsidRPr="001F7B8B">
        <w:rPr>
          <w:noProof/>
          <w:lang w:val="id-ID"/>
        </w:rPr>
        <w:t>[6]</w:t>
      </w:r>
      <w:r w:rsidR="001F7B8B">
        <w:rPr>
          <w:lang w:val="id-ID"/>
        </w:rPr>
        <w:fldChar w:fldCharType="end"/>
      </w:r>
      <w:r w:rsidRPr="008C6C18">
        <w:rPr>
          <w:lang w:val="id-ID"/>
        </w:rPr>
        <w:t xml:space="preserve">. Mental health disorders such as stress, trauma, and anxiety are also serious and growing problems, especially among Generation Z. Various factors such as academic pressure, economic uncertainty, and high exposure to social media cause high levels of stress and anxiety among adolescents and young adults </w:t>
      </w:r>
      <w:r w:rsidR="001F7B8B">
        <w:rPr>
          <w:lang w:val="id-ID"/>
        </w:rPr>
        <w:fldChar w:fldCharType="begin" w:fldLock="1"/>
      </w:r>
      <w:r w:rsidR="001F7B8B">
        <w:rPr>
          <w:lang w:val="id-ID"/>
        </w:rPr>
        <w:instrText>ADDIN CSL_CITATION {"citationItems":[{"id":"ITEM-1","itemData":{"DOI":"10.15354/si.23.re820","ISSN":"2372-8191","abstract":"The domains of mental health and artificial intelligence (AI) are undergoing rapid advancements, exhibiting the capacity to mutually influence one another in significant ways. The increasing prevalence of mental health illnesses has prompted the exploration of potential remedies in the field of AI, which show promise in the areas of early detection, prevention, and therapy. Sophisticated machine learning algorithms possess the capability to evaluate extensive volumes of data, including social media posts and voice patterns, with the objective of detecting patterns and symptoms associated with mental illness. This facilitates the implementation of more focused interventions and individualized treatment strategies. Furthermore, chatbots utilizing AI have the capability to deliver round-the-clock assistance to those undergoing acute distress or grant them access to therapy in cases where waiting lists are extensive. Nevertheless, it is of utmost importance to guarantee the incorporation of ethical issues throughout the use of AI in the field of mental healthcare. In order to achieve successful integration, it is imperative to address many concerns, including but not limited to privacy, bias, and accurate diagnosis. However, the convergence of mental health and AI offers a distinct prospect to transform our approach to mental disease and improve the availability of care for countless individuals globally.","author":[{"dropping-particle":"","family":"Shimada","given":"Koki","non-dropping-particle":"","parse-names":false,"suffix":""}],"container-title":"Science Insights","id":"ITEM-1","issue":"5","issued":{"date-parts":[["2023"]]},"page":"1119-1127","title":"The Role of Artificial Intelligence in Mental Health: A Review","type":"article-journal","volume":"43"},"uris":["http://www.mendeley.com/documents/?uuid=5eb16f77-a27f-4476-a5cf-a46122072fca"]}],"mendeley":{"formattedCitation":"[7]","plainTextFormattedCitation":"[7]","previouslyFormattedCitation":"[7]"},"properties":{"noteIndex":0},"schema":"https://github.com/citation-style-language/schema/raw/master/csl-citation.json"}</w:instrText>
      </w:r>
      <w:r w:rsidR="001F7B8B">
        <w:rPr>
          <w:lang w:val="id-ID"/>
        </w:rPr>
        <w:fldChar w:fldCharType="separate"/>
      </w:r>
      <w:r w:rsidR="001F7B8B" w:rsidRPr="001F7B8B">
        <w:rPr>
          <w:noProof/>
          <w:lang w:val="id-ID"/>
        </w:rPr>
        <w:t>[7]</w:t>
      </w:r>
      <w:r w:rsidR="001F7B8B">
        <w:rPr>
          <w:lang w:val="id-ID"/>
        </w:rPr>
        <w:fldChar w:fldCharType="end"/>
      </w:r>
      <w:r w:rsidRPr="008C6C18">
        <w:rPr>
          <w:lang w:val="id-ID"/>
        </w:rPr>
        <w:t xml:space="preserve">. This situation is exacerbated by limited access to mental health services, a shortage of professionals, and the persistent stigma surrounding those with psychological disorders. Data from the Sample Registration System compiled by the National Institute of Health Research and Development in 2016 revealed that approximately 1,800 people commit suicide each year, highlighting the urgency for a more systematic approach to addressing this issue. Various approaches have been developed, one of which uses Artificial Intelligence (AI) such as chatbots and machine learning algorithms to predict mental disorders </w:t>
      </w:r>
      <w:r w:rsidR="001F7B8B">
        <w:rPr>
          <w:lang w:val="id-ID"/>
        </w:rPr>
        <w:fldChar w:fldCharType="begin" w:fldLock="1"/>
      </w:r>
      <w:r w:rsidR="001F7B8B">
        <w:rPr>
          <w:lang w:val="id-ID"/>
        </w:rPr>
        <w:instrText>ADDIN CSL_CITATION {"citationItems":[{"id":"ITEM-1","itemData":{"DOI":"10.1109/ICCIC.2018.8782395","ISBN":"9781538615072","abstract":"Stress disorders are a common issue among working IT professionals in the industry today. With changing lifestyle and work cultures, there is an increase in the risk of stress among the employees. Though many industries and corporates provide mental health related schemes and try to ease the workplace atmosphere, the issue is far from control. In this paper, we would like to apply machine learning techniques to analyze stress patterns in working adults and to narrow down the factors that strongly determine the stress levels. Towards this, data from the OSMI mental health survey 2017 responses of working professionals within the tech-industry was considered. Various Machine Learning techniques were applied to train our model after due data cleaning and preprocessing. The accuracy of the above models was obtained and studied comparatively. Boosting had the highest accuracy among the models implemented. By using Decision Trees, prominent features that influence stress were identified as gender, family history and availability of health benefits in the workplace. With these results, industries can now narrow down their approach to reduce stress and create a much comfortable workplace for their employees.","author":[{"dropping-particle":"","family":"Reddy","given":"U. Srinivasulu","non-dropping-particle":"","parse-names":false,"suffix":""},{"dropping-particle":"","family":"Thota","given":"Aditya Vivek","non-dropping-particle":"","parse-names":false,"suffix":""},{"dropping-particle":"","family":"Dharun","given":"A.","non-dropping-particle":"","parse-names":false,"suffix":""}],"container-title":"2018 IEEE International Conference on Computational Intelligence and Computing Research, ICCIC 2018","id":"ITEM-1","issue":"June","issued":{"date-parts":[["2018"]]},"title":"Machine Learning Techniques for Stress Prediction in Working Employees","type":"article-journal"},"uris":["http://www.mendeley.com/documents/?uuid=c6601c3d-567c-4809-9593-bc3b0f562a0d"]}],"mendeley":{"formattedCitation":"[8]","plainTextFormattedCitation":"[8]","previouslyFormattedCitation":"[8]"},"properties":{"noteIndex":0},"schema":"https://github.com/citation-style-language/schema/raw/master/csl-citation.json"}</w:instrText>
      </w:r>
      <w:r w:rsidR="001F7B8B">
        <w:rPr>
          <w:lang w:val="id-ID"/>
        </w:rPr>
        <w:fldChar w:fldCharType="separate"/>
      </w:r>
      <w:r w:rsidR="001F7B8B" w:rsidRPr="001F7B8B">
        <w:rPr>
          <w:noProof/>
          <w:lang w:val="id-ID"/>
        </w:rPr>
        <w:t>[8]</w:t>
      </w:r>
      <w:r w:rsidR="001F7B8B">
        <w:rPr>
          <w:lang w:val="id-ID"/>
        </w:rPr>
        <w:fldChar w:fldCharType="end"/>
      </w:r>
      <w:r w:rsidRPr="008C6C18">
        <w:rPr>
          <w:lang w:val="id-ID"/>
        </w:rPr>
        <w:t xml:space="preserve">, </w:t>
      </w:r>
      <w:r w:rsidR="001F7B8B">
        <w:rPr>
          <w:lang w:val="id-ID"/>
        </w:rPr>
        <w:fldChar w:fldCharType="begin" w:fldLock="1"/>
      </w:r>
      <w:r w:rsidR="001F7B8B">
        <w:rPr>
          <w:lang w:val="id-ID"/>
        </w:rPr>
        <w:instrText>ADDIN CSL_CITATION {"citationItems":[{"id":"ITEM-1","itemData":{"DOI":"10.2139/ssrn.2562051","abstract":"The study of well-being is an interdisciplinary ﬁeld integrating aspects from psychology, economics, and the social and political sciences. Until today, research is still struggling to provide a robust definition of well-being, explaining its variation and dependencies on e.g. personality, demographics, way of life and life events. For this study, several machine learning techniques including kernel smoothing algorithms, neural networks and feature selection methods are applied in order to expand the structural understanding of subjective well-being and its dependencies. Well-being data from a four weeks study sequence including 362 participants is analyzed for non-parametric structures upon thirteen predictor variables, including the big ﬁve personality traits, a maximizer-satisficer scale, a fairness measure and six demographic variables. Neuroticism, extraversion and conscientiousness were conﬁrmed as the most important predictors. Although identified non-parametric structures do not lead to significantly higher prediction accuracy, 54% of the well-being variance between participants was explained upon the predictors set. Surprisingly, the cross-validated machine learning algorithms were not found to achieve higher accuracy than the linear model.","author":[{"dropping-particle":"","family":"Wilckens","given":"Max","non-dropping-particle":"","parse-names":false,"suffix":""},{"dropping-particle":"","family":"Hall","given":"Margeret","non-dropping-particle":"","parse-names":false,"suffix":""}],"container-title":"SSRN Electronic Journal","id":"ITEM-1","issue":"December","issued":{"date-parts":[["2015"]]},"title":"Can Well-Being Be Predicted? A Machine Learning Approach","type":"article-journal"},"uris":["http://www.mendeley.com/documents/?uuid=10991916-f9c3-4427-b80b-556cd4247191"]}],"mendeley":{"formattedCitation":"[9]","plainTextFormattedCitation":"[9]","previouslyFormattedCitation":"[9]"},"properties":{"noteIndex":0},"schema":"https://github.com/citation-style-language/schema/raw/master/csl-citation.json"}</w:instrText>
      </w:r>
      <w:r w:rsidR="001F7B8B">
        <w:rPr>
          <w:lang w:val="id-ID"/>
        </w:rPr>
        <w:fldChar w:fldCharType="separate"/>
      </w:r>
      <w:r w:rsidR="001F7B8B" w:rsidRPr="001F7B8B">
        <w:rPr>
          <w:noProof/>
          <w:lang w:val="id-ID"/>
        </w:rPr>
        <w:t>[9]</w:t>
      </w:r>
      <w:r w:rsidR="001F7B8B">
        <w:rPr>
          <w:lang w:val="id-ID"/>
        </w:rPr>
        <w:fldChar w:fldCharType="end"/>
      </w:r>
      <w:r w:rsidRPr="008C6C18">
        <w:rPr>
          <w:lang w:val="id-ID"/>
        </w:rPr>
        <w:t xml:space="preserve">, </w:t>
      </w:r>
      <w:r w:rsidR="001F7B8B">
        <w:rPr>
          <w:lang w:val="id-ID"/>
        </w:rPr>
        <w:fldChar w:fldCharType="begin" w:fldLock="1"/>
      </w:r>
      <w:r w:rsidR="001F7B8B">
        <w:rPr>
          <w:lang w:val="id-ID"/>
        </w:rPr>
        <w:instrText>ADDIN CSL_CITATION {"citationItems":[{"id":"ITEM-1","itemData":{"DOI":"10.1093/database/baaa010","ISSN":"17580463","PMID":"32185396","abstract":"Precision medicine is one of the recent and powerful developments in medical care, which has the potential to improve the traditional symptom-driven practice of medicine, allowing earlier interventions using advanced diagnostics and tailoring better and economically personalized treatments. Identifying the best pathway to personalized and population medicine involves the ability to analyze comprehensive patient information together with broader aspects to monitor and distinguish between sick and relatively healthy people, which will lead to a better understanding of biological indicators that can signal shifts in health. While the complexities of disease at the individual level have made it difficult to utilize healthcare information in clinical decision-making, some of the existing constraints have been greatly minimized by technological advancements. To implement effective precision medicine with enhanced ability to positively impact patient outcomes and provide real-time decision support, it is important to harness the power of electronic health records by integrating disparate data sources and discovering patient-specific patterns of disease progression. Useful analytic tools, technologies, databases, and approaches are required to augment networking and interoperability of clinical, laboratory and public health systems, as well as addressing ethical and social issues related to the privacy and protection of healthcare data with effective balance. Developing multifunctional machine learning platforms for clinical data extraction, aggregation, management and analysis can support clinicians by efficiently stratifying subjects to understand specific scenarios and optimize decision-making. Implementation of artificial intelligence in healthcare is a compelling vision that has the potential in leading to the significant improvements for achieving the goals of providing real-time, better personalized and population medicine at lower costs. In this study, we focused on analyzing and discussing various published artificial intelligence and machine learning solutions, approaches and perspectives, aiming to advance academic solutions in paving the way for a new data-centric era of discovery in healthcare.","author":[{"dropping-particle":"","family":"Ahmed","given":"Zeeshan","non-dropping-particle":"","parse-names":false,"suffix":""},{"dropping-particle":"","family":"Mohamed","given":"Khalid","non-dropping-particle":"","parse-names":false,"suffix":""},{"dropping-particle":"","family":"Zeeshan","given":"Saman","non-dropping-particle":"","parse-names":false,"suffix":""},{"dropping-particle":"","family":"Dong","given":"Xin Qi","non-dropping-particle":"","parse-names":false,"suffix":""}],"container-title":"Database","id":"ITEM-1","issued":{"date-parts":[["2020"]]},"page":"1-35","title":"Artificial intelligence with multi-functional machine learning platform development for better healthcare and precision medicine","type":"article-journal","volume":"2020"},"uris":["http://www.mendeley.com/documents/?uuid=8c5f9da8-f130-4589-956a-679e420ce6ed"]}],"mendeley":{"formattedCitation":"[10]","plainTextFormattedCitation":"[10]","previouslyFormattedCitation":"[10]"},"properties":{"noteIndex":0},"schema":"https://github.com/citation-style-language/schema/raw/master/csl-citation.json"}</w:instrText>
      </w:r>
      <w:r w:rsidR="001F7B8B">
        <w:rPr>
          <w:lang w:val="id-ID"/>
        </w:rPr>
        <w:fldChar w:fldCharType="separate"/>
      </w:r>
      <w:r w:rsidR="001F7B8B" w:rsidRPr="001F7B8B">
        <w:rPr>
          <w:noProof/>
          <w:lang w:val="id-ID"/>
        </w:rPr>
        <w:t>[10]</w:t>
      </w:r>
      <w:r w:rsidR="001F7B8B">
        <w:rPr>
          <w:lang w:val="id-ID"/>
        </w:rPr>
        <w:fldChar w:fldCharType="end"/>
      </w:r>
      <w:r w:rsidRPr="008C6C18">
        <w:rPr>
          <w:lang w:val="id-ID"/>
        </w:rPr>
        <w:t xml:space="preserve">, and </w:t>
      </w:r>
      <w:r w:rsidR="001F7B8B">
        <w:rPr>
          <w:lang w:val="id-ID"/>
        </w:rPr>
        <w:fldChar w:fldCharType="begin" w:fldLock="1"/>
      </w:r>
      <w:r w:rsidR="001F7B8B">
        <w:rPr>
          <w:lang w:val="id-ID"/>
        </w:rPr>
        <w:instrText>ADDIN CSL_CITATION {"citationItems":[{"id":"ITEM-1","itemData":{"abstract":"There is a vast literature on the determinants of subjective wellbeing. International organisations and statistical offices are now collecting such survey data at scale. However, standard regression models explain surprisingly little of the variation in wellbeing, limiting our ability to predict it. In response, we here assess the potential of Machine Learning (ML) to help us better understand wellbeing. We analyse wellbeing data on over a million respondents from Germany, the UK, and the United States. In terms of predictive power, our ML approaches do perform better than traditional models. Although the size of the improvement is small in absolute terms, it turns out to be substantial when compared to that of key variables like health. We moreover find that drastically expanding the set of explanatory variables doubles the predictive power of both OLS and the ML approaches on unseen data. The variables identified as important by our ML algorithms - $i.e.$ material conditions, health, and meaningful social relations - are similar to those that have already been identified in the literature. In that sense, our data-driven ML results validate the findings from conventional approaches.","author":[{"dropping-particle":"","family":"Oparina","given":"Ekaterina","non-dropping-particle":"","parse-names":false,"suffix":""},{"dropping-particle":"","family":"Kaiser","given":"Caspar","non-dropping-particle":"","parse-names":false,"suffix":""},{"dropping-particle":"","family":"Gentile","given":"Niccolò","non-dropping-particle":"","parse-names":false,"suffix":""},{"dropping-particle":"","family":"Tkatchenko","given":"Alexandre","non-dropping-particle":"","parse-names":false,"suffix":""},{"dropping-particle":"","family":"Clark","given":"Andrew E.","non-dropping-particle":"","parse-names":false,"suffix":""},{"dropping-particle":"","family":"Neve","given":"Jan-Emmanuel","non-dropping-particle":"De","parse-names":false,"suffix":""},{"dropping-particle":"","family":"D'Ambrosio","given":"Conchita","non-dropping-particle":"","parse-names":false,"suffix":""}],"id":"ITEM-1","issued":{"date-parts":[["2022"]]},"page":"1-33","title":"Human Wellbeing and Machine Learning","type":"article-journal"},"uris":["http://www.mendeley.com/documents/?uuid=4a58efe6-e325-491d-9a89-0ef3f3ff268c"]}],"mendeley":{"formattedCitation":"[11]","plainTextFormattedCitation":"[11]","previouslyFormattedCitation":"[11]"},"properties":{"noteIndex":0},"schema":"https://github.com/citation-style-language/schema/raw/master/csl-citation.json"}</w:instrText>
      </w:r>
      <w:r w:rsidR="001F7B8B">
        <w:rPr>
          <w:lang w:val="id-ID"/>
        </w:rPr>
        <w:fldChar w:fldCharType="separate"/>
      </w:r>
      <w:r w:rsidR="001F7B8B" w:rsidRPr="001F7B8B">
        <w:rPr>
          <w:noProof/>
          <w:lang w:val="id-ID"/>
        </w:rPr>
        <w:t>[11]</w:t>
      </w:r>
      <w:r w:rsidR="001F7B8B">
        <w:rPr>
          <w:lang w:val="id-ID"/>
        </w:rPr>
        <w:fldChar w:fldCharType="end"/>
      </w:r>
      <w:r w:rsidRPr="008C6C18">
        <w:rPr>
          <w:lang w:val="id-ID"/>
        </w:rPr>
        <w:t>.</w:t>
      </w:r>
    </w:p>
    <w:p w14:paraId="447F608A" w14:textId="77777777" w:rsidR="008C6C18" w:rsidRPr="008C6C18" w:rsidRDefault="008C6C18" w:rsidP="008C6C18">
      <w:pPr>
        <w:ind w:firstLine="720"/>
        <w:jc w:val="both"/>
        <w:rPr>
          <w:lang w:val="id-ID"/>
        </w:rPr>
      </w:pPr>
      <w:r w:rsidRPr="008C6C18">
        <w:rPr>
          <w:lang w:val="id-ID"/>
        </w:rPr>
        <w:t xml:space="preserve">However, the main problem faced in identifying mental health conditions in Generation Z is the limitation in early detection. Conventional methods such as standard questionnaires are often not accurate enough, besides that the factors that affect the mental health of this generation are very diverse and difficult to measure using traditional approaches. In this era of digitalization, data technology can provide a more effective solution. One approach that can be used is machine learning, which can analyze large data sets to identify patterns that may not be easily visible to humans. Herefore, the Random Forest, Support Vector Machine (SVM), and Logistic Regression approaches were chosen for their ability to handle complex data and provide more accurate diagnoses. Therefore, approaches based on Random Forest, Support Vector Machine (SVM), and Logistic Regression were chosen for their ability to handle complex data and provide more accurate diagnoses. </w:t>
      </w:r>
    </w:p>
    <w:p w14:paraId="65A768DE" w14:textId="77777777" w:rsidR="008C6C18" w:rsidRPr="008C6C18" w:rsidRDefault="008C6C18" w:rsidP="008C6C18">
      <w:pPr>
        <w:ind w:firstLine="720"/>
        <w:jc w:val="both"/>
        <w:rPr>
          <w:lang w:val="id-ID"/>
        </w:rPr>
      </w:pPr>
      <w:r w:rsidRPr="008C6C18">
        <w:rPr>
          <w:lang w:val="id-ID"/>
        </w:rPr>
        <w:t xml:space="preserve">This study aims to develop a machine learning model that can classify mental illnesses such as stress, trauma, and anxiety. One of the main issues to be addressed in this research is how machine learning models can effectively classify these mental conditions. In this regard, the research will explore the use of data that can help the model distinguish the symptoms of each mental illness. However, collecting accurate and representative data for model training also poses significant challenges, including limitations in obtaining valid personal data, as well as variations in how individuals express or show their symptoms. Furthermore, this research will also evaluate how accurately machine learning models can identify these mental conditions, taking into account various factors that can affect the level of accuracy, such as the quality and diversity of the data used. </w:t>
      </w:r>
    </w:p>
    <w:p w14:paraId="626F0B93" w14:textId="11A08BB8" w:rsidR="008C6C18" w:rsidRPr="008C6C18" w:rsidRDefault="008C6C18" w:rsidP="008C6C18">
      <w:pPr>
        <w:ind w:firstLine="720"/>
        <w:jc w:val="both"/>
        <w:rPr>
          <w:lang w:val="id-ID"/>
        </w:rPr>
      </w:pPr>
      <w:r w:rsidRPr="008C6C18">
        <w:rPr>
          <w:lang w:val="id-ID"/>
        </w:rPr>
        <w:t xml:space="preserve">This research is important for identifying mental health issues, particularly among Generation Z, by leveraging the sophistication of current technology, namely Machine Learning. Therefore, various Machine Learning algorithms were tested to predict students' mental well-being by exploring the use of health behavior data </w:t>
      </w:r>
      <w:r w:rsidR="001F7B8B">
        <w:rPr>
          <w:lang w:val="id-ID"/>
        </w:rPr>
        <w:fldChar w:fldCharType="begin" w:fldLock="1"/>
      </w:r>
      <w:r w:rsidR="001F7B8B">
        <w:rPr>
          <w:lang w:val="id-ID"/>
        </w:rPr>
        <w:instrText>ADDIN CSL_CITATION {"citationItems":[{"id":"ITEM-1","itemData":{"DOI":"10.3390/bioengineering10050575","ISSN":"23065354","abstract":"Background: Since the onset of the COVID-19 pandemic in early 2020, the importance of timely and effective assessment of mental well-being has increased dramatically. Machine learning (ML) algorithms and artificial intelligence (AI) techniques can be harnessed for early detection, prognostication and prediction of negative psychological well-being states. Methods: We used data from a large, multi-site cross-sectional survey consisting of 17 universities in Southeast Asia. This research work models mental well-being and reports on the performance of various machine learning algorithms, including generalized linear models, k-nearest neighbor, naïve Bayes, neural networks, random forest, recursive partitioning, bagging, and boosting. Results: Random Forest and adaptive boosting algorithms achieved the highest accuracy for identifying negative mental well-being traits. The top five most salient features associated with predicting poor mental well-being include the number of sports activities per week, body mass index, grade point average (GPA), sedentary hours, and age. Conclusions: Based on the reported results, several specific recommendations and suggested future work are discussed. These findings may be useful to provide cost-effective support and modernize mental well-being assessment and monitoring at the individual and university level.","author":[{"dropping-particle":"","family":"Abdul Rahman","given":"Hanif","non-dropping-particle":"","parse-names":false,"suffix":""},{"dropping-particle":"","family":"Kwicklis","given":"Madeline","non-dropping-particle":"","parse-names":false,"suffix":""},{"dropping-particle":"","family":"Ottom","given":"Mohammad","non-dropping-particle":"","parse-names":false,"suffix":""},{"dropping-particle":"","family":"Amornsriwatanakul","given":"Areekul","non-dropping-particle":"","parse-names":false,"suffix":""},{"dropping-particle":"","family":"H. Abdul-Mumin","given":"Khadizah","non-dropping-particle":"","parse-names":false,"suffix":""},{"dropping-particle":"","family":"Rosenberg","given":"Michael","non-dropping-particle":"","parse-names":false,"suffix":""},{"dropping-particle":"","family":"Dinov","given":"Ivo D.","non-dropping-particle":"","parse-names":false,"suffix":""}],"container-title":"Bioengineering","id":"ITEM-1","issue":"5","issued":{"date-parts":[["2023"]]},"page":"1-13","title":"Machine Learning-Based Prediction of Mental Well-Being Using Health Behavior Data from University Students","type":"article-journal","volume":"10"},"uris":["http://www.mendeley.com/documents/?uuid=0b9b442b-f9d3-4df2-a16b-e16b68bfb5de"]}],"mendeley":{"formattedCitation":"[12]","plainTextFormattedCitation":"[12]","previouslyFormattedCitation":"[12]"},"properties":{"noteIndex":0},"schema":"https://github.com/citation-style-language/schema/raw/master/csl-citation.json"}</w:instrText>
      </w:r>
      <w:r w:rsidR="001F7B8B">
        <w:rPr>
          <w:lang w:val="id-ID"/>
        </w:rPr>
        <w:fldChar w:fldCharType="separate"/>
      </w:r>
      <w:r w:rsidR="001F7B8B" w:rsidRPr="001F7B8B">
        <w:rPr>
          <w:noProof/>
          <w:lang w:val="id-ID"/>
        </w:rPr>
        <w:t>[12]</w:t>
      </w:r>
      <w:r w:rsidR="001F7B8B">
        <w:rPr>
          <w:lang w:val="id-ID"/>
        </w:rPr>
        <w:fldChar w:fldCharType="end"/>
      </w:r>
      <w:r w:rsidRPr="008C6C18">
        <w:rPr>
          <w:lang w:val="id-ID"/>
        </w:rPr>
        <w:t xml:space="preserve">. Furthermore, Machine Learning also helps improve healthcare services by focusing more on patient care rather than searching for or inputting information </w:t>
      </w:r>
      <w:r w:rsidR="001F7B8B">
        <w:rPr>
          <w:lang w:val="id-ID"/>
        </w:rPr>
        <w:fldChar w:fldCharType="begin" w:fldLock="1"/>
      </w:r>
      <w:r w:rsidR="00A65F0E">
        <w:rPr>
          <w:lang w:val="id-ID"/>
        </w:rPr>
        <w:instrText>ADDIN CSL_CITATION {"citationItems":[{"id":"ITEM-1","itemData":{"DOI":"10.1016/j.ijin.2022.05.002","ISSN":"26666030","abstract":"Machine Learning (ML) applications are making a considerable impact on healthcare. ML is a subtype of Artificial Intelligence (AI) technology that aims to improve the speed and accuracy of physicians' work. Countries are currently dealing with an overburdened healthcare system with a shortage of skilled physicians, where AI provides a big hope. The healthcare data can be used gainfully to identify the optimal trial sample, collect more data points, assess ongoing data from trial participants, and eliminate data-based errors. ML-based techniques assist in detecting early indicators of an epidemic or pandemic. This algorithm examines satellite data, news and social media reports, and even video sources to determine whether the sickness will become out of control. Using ML for healthcare can open up a world of possibilities in this field. It frees up healthcare providers' time to focus on patient care rather than searching or entering information. This paper studies ML and its need in healthcare, and then it discusses the associated features and appropriate pillars of ML for healthcare structure. Finally, it identified and discussed the significant applications of ML for healthcare. The applications of this technology in healthcare operations can be tremendously advantageous to the organisation. ML-based tools are used to provide various treatment alternatives and individualised treatments and improve the overall efficiency of hospitals and healthcare systems while lowering the cost of care. Shortly, ML will impact both physicians and hospitals. It will be crucial in developing clinical decision support, illness detection, and personalised treatment approaches to provide the best potential outcomes.","author":[{"dropping-particle":"","family":"Javaid","given":"Mohd","non-dropping-particle":"","parse-names":false,"suffix":""},{"dropping-particle":"","family":"Haleem","given":"Abid","non-dropping-particle":"","parse-names":false,"suffix":""},{"dropping-particle":"","family":"Pratap Singh","given":"Ravi","non-dropping-particle":"","parse-names":false,"suffix":""},{"dropping-particle":"","family":"Suman","given":"Rajiv","non-dropping-particle":"","parse-names":false,"suffix":""},{"dropping-particle":"","family":"Rab","given":"Shanay","non-dropping-particle":"","parse-names":false,"suffix":""}],"container-title":"International Journal of Intelligent Networks","id":"ITEM-1","issue":"February","issued":{"date-parts":[["2022"]]},"page":"58-73","publisher":"Elsevier B.V.","title":"Significance of machine learning in healthcare: Features, pillars and applications","type":"article-journal","volume":"3"},"uris":["http://www.mendeley.com/documents/?uuid=c61d29b3-f1c1-436c-9881-7226f8e60bed"]}],"mendeley":{"formattedCitation":"[13]","plainTextFormattedCitation":"[13]","previouslyFormattedCitation":"[13]"},"properties":{"noteIndex":0},"schema":"https://github.com/citation-style-language/schema/raw/master/csl-citation.json"}</w:instrText>
      </w:r>
      <w:r w:rsidR="001F7B8B">
        <w:rPr>
          <w:lang w:val="id-ID"/>
        </w:rPr>
        <w:fldChar w:fldCharType="separate"/>
      </w:r>
      <w:r w:rsidR="001F7B8B" w:rsidRPr="001F7B8B">
        <w:rPr>
          <w:noProof/>
          <w:lang w:val="id-ID"/>
        </w:rPr>
        <w:t>[13]</w:t>
      </w:r>
      <w:r w:rsidR="001F7B8B">
        <w:rPr>
          <w:lang w:val="id-ID"/>
        </w:rPr>
        <w:fldChar w:fldCharType="end"/>
      </w:r>
      <w:r w:rsidRPr="008C6C18">
        <w:rPr>
          <w:lang w:val="id-ID"/>
        </w:rPr>
        <w:t xml:space="preserve">. Patient mental health can be measured validly using several psychological measurement approaches with the Depression, Anxiety, and Stress Scale (DASS 21) questionnaire. The results of this measurement can describe an individual's mental health condition validly </w:t>
      </w:r>
      <w:r w:rsidR="00A65F0E">
        <w:rPr>
          <w:lang w:val="id-ID"/>
        </w:rPr>
        <w:fldChar w:fldCharType="begin" w:fldLock="1"/>
      </w:r>
      <w:r w:rsidR="00A65F0E">
        <w:rPr>
          <w:lang w:val="id-ID"/>
        </w:rPr>
        <w:instrText>ADDIN CSL_CITATION {"citationItems":[{"id":"ITEM-1","itemData":{"DOI":"10.1016/j.procs.2020.03.442","ISSN":"18770509","abstract":"In the fast-paced modern world, psychological health issues like anxiety, depression and stress have become very common among the masses. In this paper, predictions of anxiety, depression and stress were made using machine learning algorithms. In order to apply these algorithms, data were collected from employed and unemployed individuals across different cultures and communities through the Depression, Anxiety and Stress Scale questionnaire (DASS 21). Anxiety, depression and stress were predicted as occurring on five levels of severity by five different machine learning algorithms-because these are highly accurate, they are particularly suited to predicting psychological problems. After applying the different methods, it was found that classes were imbalanced in the confusion matrix. Thus, the f1 score measure was added, which helped identify the best accuracy model among the five applied algorithms as the Random Forest classifier. Furthermore, the specificity parameter revealed that the algorithms were also especially sensitive to negative results.","author":[{"dropping-particle":"","family":"Priya","given":"Anu","non-dropping-particle":"","parse-names":false,"suffix":""},{"dropping-particle":"","family":"Garg","given":"Shruti","non-dropping-particle":"","parse-names":false,"suffix":""},{"dropping-particle":"","family":"Tigga","given":"Neha Prerna","non-dropping-particle":"","parse-names":false,"suffix":""}],"container-title":"Procedia Computer Science","id":"ITEM-1","issue":"2019","issued":{"date-parts":[["2020"]]},"page":"1258-1267","publisher":"The Author(s)","title":"Predicting Anxiety, Depression and Stress in Modern Life using Machine Learning Algorithms","type":"article-journal","volume":"167"},"uris":["http://www.mendeley.com/documents/?uuid=458d47fb-4ab3-4326-96e7-17aaca61f82d"]}],"mendeley":{"formattedCitation":"[14]","plainTextFormattedCitation":"[14]","previouslyFormattedCitation":"[14]"},"properties":{"noteIndex":0},"schema":"https://github.com/citation-style-language/schema/raw/master/csl-citation.json"}</w:instrText>
      </w:r>
      <w:r w:rsidR="00A65F0E">
        <w:rPr>
          <w:lang w:val="id-ID"/>
        </w:rPr>
        <w:fldChar w:fldCharType="separate"/>
      </w:r>
      <w:r w:rsidR="00A65F0E" w:rsidRPr="00A65F0E">
        <w:rPr>
          <w:noProof/>
          <w:lang w:val="id-ID"/>
        </w:rPr>
        <w:t>[14]</w:t>
      </w:r>
      <w:r w:rsidR="00A65F0E">
        <w:rPr>
          <w:lang w:val="id-ID"/>
        </w:rPr>
        <w:fldChar w:fldCharType="end"/>
      </w:r>
      <w:r w:rsidRPr="008C6C18">
        <w:rPr>
          <w:lang w:val="id-ID"/>
        </w:rPr>
        <w:t>.</w:t>
      </w:r>
    </w:p>
    <w:p w14:paraId="23DE389F" w14:textId="77777777" w:rsidR="00904D6D" w:rsidRPr="003D5B84" w:rsidRDefault="00904D6D" w:rsidP="0033719B">
      <w:pPr>
        <w:jc w:val="both"/>
      </w:pPr>
    </w:p>
    <w:p w14:paraId="1F2EECA7" w14:textId="63E1F17C" w:rsidR="00904D6D" w:rsidRPr="003D5B84" w:rsidRDefault="00F33C08" w:rsidP="0033719B">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71B8268A" w14:textId="77777777" w:rsidR="008C6C18" w:rsidRPr="008C6C18" w:rsidRDefault="008C6C18" w:rsidP="008C6C18">
      <w:pPr>
        <w:ind w:firstLine="720"/>
        <w:jc w:val="both"/>
        <w:rPr>
          <w:lang w:val="id-ID"/>
        </w:rPr>
      </w:pPr>
      <w:r w:rsidRPr="008C6C18">
        <w:rPr>
          <w:lang w:val="id-ID"/>
        </w:rPr>
        <w:t>This study uses the Supervised Machine Learning classification model method, which has several stages. The stages of the study are shown in the Flowchart in Figure 1.</w:t>
      </w:r>
    </w:p>
    <w:p w14:paraId="40AB5E24" w14:textId="77777777" w:rsidR="008C6C18" w:rsidRPr="008C6C18" w:rsidRDefault="008C6C18" w:rsidP="008C6C18">
      <w:pPr>
        <w:ind w:firstLine="720"/>
        <w:jc w:val="center"/>
        <w:rPr>
          <w:lang w:val="id-ID"/>
        </w:rPr>
      </w:pPr>
      <w:r w:rsidRPr="008C6C18">
        <w:rPr>
          <w:noProof/>
          <w:lang w:val="id-ID"/>
        </w:rPr>
        <w:lastRenderedPageBreak/>
        <w:drawing>
          <wp:inline distT="0" distB="0" distL="0" distR="0" wp14:anchorId="1095F877" wp14:editId="28A57DE1">
            <wp:extent cx="3518494" cy="2638697"/>
            <wp:effectExtent l="0" t="0" r="0" b="0"/>
            <wp:docPr id="837041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41449" name="Picture 8370414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4823" cy="2673441"/>
                    </a:xfrm>
                    <a:prstGeom prst="rect">
                      <a:avLst/>
                    </a:prstGeom>
                  </pic:spPr>
                </pic:pic>
              </a:graphicData>
            </a:graphic>
          </wp:inline>
        </w:drawing>
      </w:r>
    </w:p>
    <w:p w14:paraId="09475509" w14:textId="0593D849" w:rsidR="008C6C18" w:rsidRPr="008C6C18" w:rsidRDefault="008C6C18" w:rsidP="008C6C18">
      <w:pPr>
        <w:ind w:firstLine="720"/>
        <w:jc w:val="center"/>
        <w:rPr>
          <w:lang w:val="id-ID"/>
        </w:rPr>
      </w:pPr>
      <w:r w:rsidRPr="008C6C18">
        <w:rPr>
          <w:lang w:val="id-ID"/>
        </w:rPr>
        <w:t>Fig</w:t>
      </w:r>
      <w:r>
        <w:rPr>
          <w:lang w:val="id-ID"/>
        </w:rPr>
        <w:t>ure</w:t>
      </w:r>
      <w:r w:rsidRPr="008C6C18">
        <w:rPr>
          <w:lang w:val="id-ID"/>
        </w:rPr>
        <w:t xml:space="preserve"> 1.  Research method diagram</w:t>
      </w:r>
    </w:p>
    <w:p w14:paraId="38D536B5" w14:textId="77777777" w:rsidR="00D419CF" w:rsidRPr="00D419CF" w:rsidRDefault="00D419CF" w:rsidP="00D419CF">
      <w:pPr>
        <w:pStyle w:val="Heading3"/>
        <w:numPr>
          <w:ilvl w:val="1"/>
          <w:numId w:val="26"/>
        </w:numPr>
        <w:tabs>
          <w:tab w:val="left" w:pos="142"/>
          <w:tab w:val="left" w:pos="284"/>
        </w:tabs>
        <w:ind w:left="0" w:firstLine="0"/>
        <w:rPr>
          <w:rFonts w:ascii="Times New Roman" w:hAnsi="Times New Roman" w:cs="Times New Roman"/>
          <w:sz w:val="20"/>
          <w:szCs w:val="20"/>
        </w:rPr>
      </w:pPr>
      <w:r w:rsidRPr="00D419CF">
        <w:rPr>
          <w:rFonts w:ascii="Times New Roman" w:hAnsi="Times New Roman" w:cs="Times New Roman"/>
          <w:sz w:val="20"/>
          <w:szCs w:val="20"/>
        </w:rPr>
        <w:t>Materials</w:t>
      </w:r>
    </w:p>
    <w:p w14:paraId="66A087B5" w14:textId="77777777" w:rsidR="00D419CF" w:rsidRPr="009B1315" w:rsidRDefault="00D419CF" w:rsidP="00D419CF">
      <w:pPr>
        <w:ind w:firstLine="720"/>
        <w:jc w:val="both"/>
        <w:rPr>
          <w:lang w:val="en-ID"/>
        </w:rPr>
      </w:pPr>
      <w:r w:rsidRPr="009B1315">
        <w:rPr>
          <w:lang w:val="en-ID"/>
        </w:rPr>
        <w:t>Conducting an extensive literature review to understand the latest research</w:t>
      </w:r>
      <w:r>
        <w:rPr>
          <w:lang w:val="en-ID"/>
        </w:rPr>
        <w:t xml:space="preserve"> </w:t>
      </w:r>
      <w:r w:rsidRPr="009B1315">
        <w:rPr>
          <w:lang w:val="en-ID"/>
        </w:rPr>
        <w:t>in mental health detection using machine learning.</w:t>
      </w:r>
      <w:r>
        <w:rPr>
          <w:lang w:val="en-ID"/>
        </w:rPr>
        <w:t xml:space="preserve"> </w:t>
      </w:r>
      <w:r w:rsidRPr="009B1315">
        <w:rPr>
          <w:lang w:val="en-ID"/>
        </w:rPr>
        <w:t xml:space="preserve">The questionnaire measurement method using a valid instrument approach is described as follows: </w:t>
      </w:r>
    </w:p>
    <w:p w14:paraId="6D9BC220" w14:textId="4872A1CE" w:rsidR="00D419CF" w:rsidRDefault="00D419CF" w:rsidP="00D419CF">
      <w:pPr>
        <w:pStyle w:val="ListParagraph"/>
        <w:widowControl w:val="0"/>
        <w:numPr>
          <w:ilvl w:val="2"/>
          <w:numId w:val="27"/>
        </w:numPr>
        <w:autoSpaceDE w:val="0"/>
        <w:autoSpaceDN w:val="0"/>
        <w:spacing w:after="57" w:line="240" w:lineRule="auto"/>
        <w:ind w:left="567" w:hanging="567"/>
        <w:jc w:val="both"/>
        <w:rPr>
          <w:rFonts w:ascii="Times New Roman" w:hAnsi="Times New Roman"/>
          <w:sz w:val="20"/>
          <w:szCs w:val="20"/>
          <w:lang w:val="en-ID"/>
        </w:rPr>
      </w:pPr>
      <w:r w:rsidRPr="00D419CF">
        <w:rPr>
          <w:rFonts w:ascii="Times New Roman" w:hAnsi="Times New Roman"/>
          <w:sz w:val="20"/>
          <w:szCs w:val="20"/>
          <w:lang w:val="en-ID"/>
        </w:rPr>
        <w:t xml:space="preserve">The Depression, Anxiety, and Stress Scale - DASS-21 aims to assess and distinguish symptoms of anxiety and depression, based on the Tripartite Model </w:t>
      </w:r>
      <w:r w:rsidRPr="00D419CF">
        <w:rPr>
          <w:rFonts w:ascii="Times New Roman" w:hAnsi="Times New Roman"/>
          <w:sz w:val="20"/>
          <w:szCs w:val="20"/>
          <w:lang w:val="en-ID"/>
        </w:rPr>
        <w:fldChar w:fldCharType="begin" w:fldLock="1"/>
      </w:r>
      <w:r w:rsidR="00A65F0E">
        <w:rPr>
          <w:rFonts w:ascii="Times New Roman" w:hAnsi="Times New Roman"/>
          <w:sz w:val="20"/>
          <w:szCs w:val="20"/>
          <w:lang w:val="en-ID"/>
        </w:rPr>
        <w:instrText>ADDIN CSL_CITATION {"citationItems":[{"id":"ITEM-1","itemData":{"author":[{"dropping-particle":"","family":"Lovibond, S. H., &amp; Lovibond","given":"P. F.","non-dropping-particle":"","parse-names":false,"suffix":""}],"container-title":"Psychological Assessment","id":"ITEM-1","issued":{"date-parts":[["1995"]]},"title":"Depression anxiety stress scales","type":"article-journal"},"uris":["http://www.mendeley.com/documents/?uuid=2c7ea728-9efd-4614-81a6-65dac42d369a"]}],"mendeley":{"formattedCitation":"[15]","plainTextFormattedCitation":"[15]","previouslyFormattedCitation":"[15]"},"properties":{"noteIndex":0},"schema":"https://github.com/citation-style-language/schema/raw/master/csl-citation.json"}</w:instrText>
      </w:r>
      <w:r w:rsidRPr="00D419CF">
        <w:rPr>
          <w:rFonts w:ascii="Times New Roman" w:hAnsi="Times New Roman"/>
          <w:sz w:val="20"/>
          <w:szCs w:val="20"/>
          <w:lang w:val="en-ID"/>
        </w:rPr>
        <w:fldChar w:fldCharType="separate"/>
      </w:r>
      <w:r w:rsidR="00A65F0E" w:rsidRPr="00A65F0E">
        <w:rPr>
          <w:rFonts w:ascii="Times New Roman" w:hAnsi="Times New Roman"/>
          <w:noProof/>
          <w:sz w:val="20"/>
          <w:szCs w:val="20"/>
          <w:lang w:val="en-ID"/>
        </w:rPr>
        <w:t>[15]</w:t>
      </w:r>
      <w:r w:rsidRPr="00D419CF">
        <w:rPr>
          <w:rFonts w:ascii="Times New Roman" w:hAnsi="Times New Roman"/>
          <w:sz w:val="20"/>
          <w:szCs w:val="20"/>
          <w:lang w:val="en-ID"/>
        </w:rPr>
        <w:fldChar w:fldCharType="end"/>
      </w:r>
      <w:r w:rsidRPr="00D419CF">
        <w:rPr>
          <w:rFonts w:ascii="Times New Roman" w:hAnsi="Times New Roman"/>
          <w:sz w:val="20"/>
          <w:szCs w:val="20"/>
          <w:lang w:val="en-ID"/>
        </w:rPr>
        <w:t>,</w:t>
      </w:r>
      <w:r w:rsidRPr="00D419CF">
        <w:rPr>
          <w:rFonts w:ascii="Times New Roman" w:hAnsi="Times New Roman"/>
          <w:sz w:val="20"/>
          <w:szCs w:val="20"/>
          <w:lang w:val="en-ID"/>
        </w:rPr>
        <w:fldChar w:fldCharType="begin" w:fldLock="1"/>
      </w:r>
      <w:r w:rsidR="00A65F0E">
        <w:rPr>
          <w:rFonts w:ascii="Times New Roman" w:hAnsi="Times New Roman"/>
          <w:sz w:val="20"/>
          <w:szCs w:val="20"/>
          <w:lang w:val="en-ID"/>
        </w:rPr>
        <w:instrText>ADDIN CSL_CITATION {"citationItems":[{"id":"ITEM-1","itemData":{"author":[{"dropping-particle":"","family":"Lovibond, P. F., &amp; Lovibond","given":"S. H.","non-dropping-particle":"","parse-names":false,"suffix":""}],"container-title":"Behaviour Research and Therapy","id":"ITEM-1","issue":"3","issued":{"date-parts":[["1995"]]},"page":"335–343","title":"The structure of negative emotional states: Comparison of the Depression Anxiety Stress Scales (DASS) with the Beck Depression and Anxiety Inventories","type":"article-journal","volume":"33"},"uris":["http://www.mendeley.com/documents/?uuid=6aa1abfa-4cf7-4073-b1e5-701ebaa2298c"]}],"mendeley":{"formattedCitation":"[16]","plainTextFormattedCitation":"[16]","previouslyFormattedCitation":"[16]"},"properties":{"noteIndex":0},"schema":"https://github.com/citation-style-language/schema/raw/master/csl-citation.json"}</w:instrText>
      </w:r>
      <w:r w:rsidRPr="00D419CF">
        <w:rPr>
          <w:rFonts w:ascii="Times New Roman" w:hAnsi="Times New Roman"/>
          <w:sz w:val="20"/>
          <w:szCs w:val="20"/>
          <w:lang w:val="en-ID"/>
        </w:rPr>
        <w:fldChar w:fldCharType="separate"/>
      </w:r>
      <w:r w:rsidR="00A65F0E" w:rsidRPr="00A65F0E">
        <w:rPr>
          <w:rFonts w:ascii="Times New Roman" w:hAnsi="Times New Roman"/>
          <w:noProof/>
          <w:sz w:val="20"/>
          <w:szCs w:val="20"/>
          <w:lang w:val="en-ID"/>
        </w:rPr>
        <w:t>[16]</w:t>
      </w:r>
      <w:r w:rsidRPr="00D419CF">
        <w:rPr>
          <w:rFonts w:ascii="Times New Roman" w:hAnsi="Times New Roman"/>
          <w:sz w:val="20"/>
          <w:szCs w:val="20"/>
          <w:lang w:val="en-ID"/>
        </w:rPr>
        <w:fldChar w:fldCharType="end"/>
      </w:r>
      <w:r w:rsidRPr="00D419CF">
        <w:rPr>
          <w:rFonts w:ascii="Times New Roman" w:hAnsi="Times New Roman"/>
          <w:sz w:val="20"/>
          <w:szCs w:val="20"/>
          <w:lang w:val="en-ID"/>
        </w:rPr>
        <w:t xml:space="preserve">. It consists of 21 items, with participants responding using a 4-point Likert scale. Regarding psychometric studies, the DASS 21 has been tested and confirmed, with adequate levels of internal consistency found for each factor </w:t>
      </w:r>
      <w:r w:rsidRPr="00D419CF">
        <w:rPr>
          <w:rFonts w:ascii="Times New Roman" w:hAnsi="Times New Roman"/>
          <w:sz w:val="20"/>
          <w:szCs w:val="20"/>
          <w:lang w:val="en-ID"/>
        </w:rPr>
        <w:fldChar w:fldCharType="begin" w:fldLock="1"/>
      </w:r>
      <w:r w:rsidR="00A65F0E">
        <w:rPr>
          <w:rFonts w:ascii="Times New Roman" w:hAnsi="Times New Roman"/>
          <w:sz w:val="20"/>
          <w:szCs w:val="20"/>
          <w:lang w:val="en-ID"/>
        </w:rPr>
        <w:instrText>ADDIN CSL_CITATION {"citationItems":[{"id":"ITEM-1","itemData":{"author":[{"dropping-particle":"","family":"Lovibond, P. F., &amp; Lovibond","given":"S. H.","non-dropping-particle":"","parse-names":false,"suffix":""}],"container-title":"Behaviour Research and Therapy","id":"ITEM-1","issue":"3","issued":{"date-parts":[["1995"]]},"page":"335–343","title":"The structure of negative emotional states: Comparison of the Depression Anxiety Stress Scales (DASS) with the Beck Depression and Anxiety Inventories","type":"article-journal","volume":"33"},"uris":["http://www.mendeley.com/documents/?uuid=6aa1abfa-4cf7-4073-b1e5-701ebaa2298c"]}],"mendeley":{"formattedCitation":"[16]","plainTextFormattedCitation":"[16]","previouslyFormattedCitation":"[16]"},"properties":{"noteIndex":0},"schema":"https://github.com/citation-style-language/schema/raw/master/csl-citation.json"}</w:instrText>
      </w:r>
      <w:r w:rsidRPr="00D419CF">
        <w:rPr>
          <w:rFonts w:ascii="Times New Roman" w:hAnsi="Times New Roman"/>
          <w:sz w:val="20"/>
          <w:szCs w:val="20"/>
          <w:lang w:val="en-ID"/>
        </w:rPr>
        <w:fldChar w:fldCharType="separate"/>
      </w:r>
      <w:r w:rsidR="00A65F0E" w:rsidRPr="00A65F0E">
        <w:rPr>
          <w:rFonts w:ascii="Times New Roman" w:hAnsi="Times New Roman"/>
          <w:noProof/>
          <w:sz w:val="20"/>
          <w:szCs w:val="20"/>
          <w:lang w:val="en-ID"/>
        </w:rPr>
        <w:t>[16]</w:t>
      </w:r>
      <w:r w:rsidRPr="00D419CF">
        <w:rPr>
          <w:rFonts w:ascii="Times New Roman" w:hAnsi="Times New Roman"/>
          <w:sz w:val="20"/>
          <w:szCs w:val="20"/>
          <w:lang w:val="en-ID"/>
        </w:rPr>
        <w:fldChar w:fldCharType="end"/>
      </w:r>
      <w:r w:rsidRPr="00D419CF">
        <w:rPr>
          <w:rFonts w:ascii="Times New Roman" w:hAnsi="Times New Roman"/>
          <w:sz w:val="20"/>
          <w:szCs w:val="20"/>
          <w:lang w:val="en-ID"/>
        </w:rPr>
        <w:t xml:space="preserve">. </w:t>
      </w:r>
    </w:p>
    <w:p w14:paraId="739116F3" w14:textId="155B8FB8" w:rsidR="00D419CF" w:rsidRPr="00D419CF" w:rsidRDefault="00D419CF" w:rsidP="00D419CF">
      <w:pPr>
        <w:pStyle w:val="ListParagraph"/>
        <w:widowControl w:val="0"/>
        <w:numPr>
          <w:ilvl w:val="2"/>
          <w:numId w:val="27"/>
        </w:numPr>
        <w:autoSpaceDE w:val="0"/>
        <w:autoSpaceDN w:val="0"/>
        <w:spacing w:after="57" w:line="240" w:lineRule="auto"/>
        <w:ind w:left="567" w:hanging="567"/>
        <w:jc w:val="both"/>
        <w:rPr>
          <w:rFonts w:ascii="Times New Roman" w:hAnsi="Times New Roman"/>
          <w:sz w:val="20"/>
          <w:szCs w:val="20"/>
          <w:lang w:val="en-ID"/>
        </w:rPr>
      </w:pPr>
      <w:r w:rsidRPr="00D419CF">
        <w:rPr>
          <w:rFonts w:ascii="Times New Roman" w:hAnsi="Times New Roman"/>
          <w:sz w:val="20"/>
          <w:szCs w:val="20"/>
          <w:lang w:val="en-ID"/>
        </w:rPr>
        <w:t xml:space="preserve">Psychological </w:t>
      </w:r>
      <w:proofErr w:type="spellStart"/>
      <w:r w:rsidRPr="00D419CF">
        <w:rPr>
          <w:rFonts w:ascii="Times New Roman" w:hAnsi="Times New Roman"/>
          <w:sz w:val="20"/>
          <w:szCs w:val="20"/>
          <w:lang w:val="en-ID"/>
        </w:rPr>
        <w:t>Modeling</w:t>
      </w:r>
      <w:proofErr w:type="spellEnd"/>
      <w:r w:rsidRPr="00D419CF">
        <w:rPr>
          <w:rFonts w:ascii="Times New Roman" w:hAnsi="Times New Roman"/>
          <w:sz w:val="20"/>
          <w:szCs w:val="20"/>
          <w:lang w:val="en-ID"/>
        </w:rPr>
        <w:t xml:space="preserve"> to detect anxiety levels.</w:t>
      </w:r>
      <w:r>
        <w:rPr>
          <w:rFonts w:ascii="Times New Roman" w:hAnsi="Times New Roman"/>
          <w:sz w:val="20"/>
          <w:szCs w:val="20"/>
          <w:lang w:val="en-ID"/>
        </w:rPr>
        <w:t xml:space="preserve"> </w:t>
      </w:r>
      <w:r w:rsidRPr="00D419CF">
        <w:rPr>
          <w:rFonts w:ascii="Times New Roman" w:hAnsi="Times New Roman"/>
          <w:sz w:val="20"/>
          <w:szCs w:val="20"/>
          <w:lang w:val="en-ID"/>
        </w:rPr>
        <w:t xml:space="preserve">The Spielberger State-Trait Anxiety Inventory (STAI) is a 40-item self-report measure of anxiety using a 4-point Likert-type scale for each item [18]. The total score for each scale ranges from 20 to 80, with higher scores indicating more severe anxiety levels. The 4-point scale for T anxiety is: 1) almost never, 2) sometimes, 3) often, 4) almost always </w:t>
      </w:r>
      <w:r w:rsidRPr="00D419CF">
        <w:rPr>
          <w:rFonts w:ascii="Times New Roman" w:hAnsi="Times New Roman"/>
          <w:sz w:val="20"/>
          <w:szCs w:val="20"/>
          <w:lang w:val="en-ID"/>
        </w:rPr>
        <w:fldChar w:fldCharType="begin" w:fldLock="1"/>
      </w:r>
      <w:r w:rsidR="00A65F0E">
        <w:rPr>
          <w:rFonts w:ascii="Times New Roman" w:hAnsi="Times New Roman"/>
          <w:sz w:val="20"/>
          <w:szCs w:val="20"/>
          <w:lang w:val="en-ID"/>
        </w:rPr>
        <w:instrText>ADDIN CSL_CITATION {"citationItems":[{"id":"ITEM-1","itemData":{"author":[{"dropping-particle":"","family":"Spielberger, C. D., Gonzalez-Reigosa, F., Martinez-Urrutia, A., Natalicio, L. F., &amp; Natalicio","given":"D. S.","non-dropping-particle":"","parse-names":false,"suffix":""}],"container-title":"Revista Interamericana de Psicologia/Interamerican journal of psychology,","id":"ITEM-1","issue":"3","issued":{"date-parts":[["1971"]]},"title":"The state-trait anxiety inventory","type":"article-journal","volume":"5"},"uris":["http://www.mendeley.com/documents/?uuid=a99db4d2-663b-4472-acdc-1798f6f56d73"]}],"mendeley":{"formattedCitation":"[17]","plainTextFormattedCitation":"[17]","previouslyFormattedCitation":"[17]"},"properties":{"noteIndex":0},"schema":"https://github.com/citation-style-language/schema/raw/master/csl-citation.json"}</w:instrText>
      </w:r>
      <w:r w:rsidRPr="00D419CF">
        <w:rPr>
          <w:rFonts w:ascii="Times New Roman" w:hAnsi="Times New Roman"/>
          <w:sz w:val="20"/>
          <w:szCs w:val="20"/>
          <w:lang w:val="en-ID"/>
        </w:rPr>
        <w:fldChar w:fldCharType="separate"/>
      </w:r>
      <w:r w:rsidR="00A65F0E" w:rsidRPr="00A65F0E">
        <w:rPr>
          <w:rFonts w:ascii="Times New Roman" w:hAnsi="Times New Roman"/>
          <w:noProof/>
          <w:sz w:val="20"/>
          <w:szCs w:val="20"/>
          <w:lang w:val="en-ID"/>
        </w:rPr>
        <w:t>[17]</w:t>
      </w:r>
      <w:r w:rsidRPr="00D419CF">
        <w:rPr>
          <w:rFonts w:ascii="Times New Roman" w:hAnsi="Times New Roman"/>
          <w:sz w:val="20"/>
          <w:szCs w:val="20"/>
          <w:lang w:val="en-ID"/>
        </w:rPr>
        <w:fldChar w:fldCharType="end"/>
      </w:r>
      <w:r w:rsidRPr="00D419CF">
        <w:rPr>
          <w:rFonts w:ascii="Times New Roman" w:hAnsi="Times New Roman"/>
          <w:sz w:val="20"/>
          <w:szCs w:val="20"/>
          <w:lang w:val="en-ID"/>
        </w:rPr>
        <w:t>.</w:t>
      </w:r>
    </w:p>
    <w:p w14:paraId="24D48696" w14:textId="008A060A" w:rsidR="00D419CF" w:rsidRPr="00D419CF" w:rsidRDefault="00D419CF" w:rsidP="00D419CF">
      <w:pPr>
        <w:pStyle w:val="ListParagraph"/>
        <w:widowControl w:val="0"/>
        <w:numPr>
          <w:ilvl w:val="2"/>
          <w:numId w:val="27"/>
        </w:numPr>
        <w:autoSpaceDE w:val="0"/>
        <w:autoSpaceDN w:val="0"/>
        <w:spacing w:after="0" w:line="240" w:lineRule="auto"/>
        <w:ind w:left="567" w:hanging="567"/>
        <w:jc w:val="both"/>
        <w:rPr>
          <w:rFonts w:ascii="Times New Roman" w:hAnsi="Times New Roman"/>
          <w:sz w:val="20"/>
          <w:szCs w:val="20"/>
          <w:lang w:val="en-ID"/>
        </w:rPr>
      </w:pPr>
      <w:r w:rsidRPr="00D419CF">
        <w:rPr>
          <w:rFonts w:ascii="Times New Roman" w:hAnsi="Times New Roman"/>
          <w:sz w:val="20"/>
          <w:szCs w:val="20"/>
          <w:lang w:val="en-ID"/>
        </w:rPr>
        <w:t xml:space="preserve">Psychological </w:t>
      </w:r>
      <w:proofErr w:type="spellStart"/>
      <w:r w:rsidRPr="00D419CF">
        <w:rPr>
          <w:rFonts w:ascii="Times New Roman" w:hAnsi="Times New Roman"/>
          <w:sz w:val="20"/>
          <w:szCs w:val="20"/>
          <w:lang w:val="en-ID"/>
        </w:rPr>
        <w:t>Modeling</w:t>
      </w:r>
      <w:proofErr w:type="spellEnd"/>
      <w:r w:rsidRPr="00D419CF">
        <w:rPr>
          <w:rFonts w:ascii="Times New Roman" w:hAnsi="Times New Roman"/>
          <w:sz w:val="20"/>
          <w:szCs w:val="20"/>
          <w:lang w:val="en-ID"/>
        </w:rPr>
        <w:t xml:space="preserve"> to detect trauma levels through the Adverse Childhood Experiences (ACE) Model to evaluate negative experiences during childhood and their impact on physical and mental health in adulthood. The ACE questionnaire consists of 10 questions. The total score can range from 0 (no traumatic experiences) to 10 </w:t>
      </w:r>
      <w:r w:rsidRPr="00D419CF">
        <w:rPr>
          <w:rFonts w:ascii="Times New Roman" w:hAnsi="Times New Roman"/>
          <w:sz w:val="20"/>
          <w:szCs w:val="20"/>
          <w:lang w:val="en-ID"/>
        </w:rPr>
        <w:fldChar w:fldCharType="begin" w:fldLock="1"/>
      </w:r>
      <w:r w:rsidR="00A65F0E">
        <w:rPr>
          <w:rFonts w:ascii="Times New Roman" w:hAnsi="Times New Roman"/>
          <w:sz w:val="20"/>
          <w:szCs w:val="20"/>
          <w:lang w:val="en-ID"/>
        </w:rPr>
        <w:instrText>ADDIN CSL_CITATION {"citationItems":[{"id":"ITEM-1","itemData":{"author":[{"dropping-particle":"","family":"Barnett, M. L., Sheldrick, R. C., Liu, S. R., Kia-Keating, M., &amp; Negriff","given":"S","non-dropping-particle":"","parse-names":false,"suffix":""}],"container-title":"American Psychologist","id":"ITEM-1","issue":"2","issued":{"date-parts":[["2021"]]},"page":"364","title":"Implications of adverse childhood experiences screening on behavioral health services: A scoping review and systems modeling analysis","type":"article-journal","volume":"76"},"uris":["http://www.mendeley.com/documents/?uuid=6dd2ef84-2f1a-4754-9565-7f936471c9de"]}],"mendeley":{"formattedCitation":"[18]","plainTextFormattedCitation":"[18]","previouslyFormattedCitation":"[18]"},"properties":{"noteIndex":0},"schema":"https://github.com/citation-style-language/schema/raw/master/csl-citation.json"}</w:instrText>
      </w:r>
      <w:r w:rsidRPr="00D419CF">
        <w:rPr>
          <w:rFonts w:ascii="Times New Roman" w:hAnsi="Times New Roman"/>
          <w:sz w:val="20"/>
          <w:szCs w:val="20"/>
          <w:lang w:val="en-ID"/>
        </w:rPr>
        <w:fldChar w:fldCharType="separate"/>
      </w:r>
      <w:r w:rsidR="00A65F0E" w:rsidRPr="00A65F0E">
        <w:rPr>
          <w:rFonts w:ascii="Times New Roman" w:hAnsi="Times New Roman"/>
          <w:noProof/>
          <w:sz w:val="20"/>
          <w:szCs w:val="20"/>
          <w:lang w:val="en-ID"/>
        </w:rPr>
        <w:t>[18]</w:t>
      </w:r>
      <w:r w:rsidRPr="00D419CF">
        <w:rPr>
          <w:rFonts w:ascii="Times New Roman" w:hAnsi="Times New Roman"/>
          <w:sz w:val="20"/>
          <w:szCs w:val="20"/>
          <w:lang w:val="en-ID"/>
        </w:rPr>
        <w:fldChar w:fldCharType="end"/>
      </w:r>
      <w:r w:rsidRPr="00D419CF">
        <w:rPr>
          <w:rFonts w:ascii="Times New Roman" w:hAnsi="Times New Roman"/>
          <w:sz w:val="20"/>
          <w:szCs w:val="20"/>
          <w:lang w:val="en-ID"/>
        </w:rPr>
        <w:t>.</w:t>
      </w:r>
    </w:p>
    <w:p w14:paraId="083BDF91" w14:textId="77777777" w:rsidR="00D419CF" w:rsidRPr="00D419CF" w:rsidRDefault="00D419CF" w:rsidP="00D419CF">
      <w:pPr>
        <w:pStyle w:val="Heading3"/>
        <w:numPr>
          <w:ilvl w:val="1"/>
          <w:numId w:val="26"/>
        </w:numPr>
        <w:tabs>
          <w:tab w:val="left" w:pos="142"/>
          <w:tab w:val="left" w:pos="284"/>
        </w:tabs>
        <w:spacing w:before="0" w:after="0"/>
        <w:ind w:left="0" w:firstLine="0"/>
        <w:rPr>
          <w:rFonts w:ascii="Times New Roman" w:hAnsi="Times New Roman" w:cs="Times New Roman"/>
          <w:sz w:val="20"/>
          <w:szCs w:val="20"/>
        </w:rPr>
      </w:pPr>
      <w:r w:rsidRPr="00D419CF">
        <w:rPr>
          <w:rFonts w:ascii="Times New Roman" w:hAnsi="Times New Roman" w:cs="Times New Roman"/>
          <w:sz w:val="20"/>
          <w:szCs w:val="20"/>
        </w:rPr>
        <w:t>Participants</w:t>
      </w:r>
    </w:p>
    <w:p w14:paraId="7BFC848E" w14:textId="77777777" w:rsidR="00D419CF" w:rsidRPr="009B1315" w:rsidRDefault="00D419CF" w:rsidP="00D419CF">
      <w:pPr>
        <w:ind w:firstLine="720"/>
        <w:jc w:val="both"/>
        <w:rPr>
          <w:lang w:val="en-ID"/>
        </w:rPr>
      </w:pPr>
      <w:r w:rsidRPr="009B1315">
        <w:rPr>
          <w:lang w:val="en-ID"/>
        </w:rPr>
        <w:t xml:space="preserve">In collecting data, the author faced a major challenge, namely limitations in obtaining valid personal data and variations in the way individuals expressed or showed their symptoms. However, to overcome this problem, we conducted a direct survey of 500 young people aged 17-24. Each participant was then given three questionnaires to measure stress, anxiety, and trauma levels as tools to assess their symptoms. The collected data was structured in Excel format. </w:t>
      </w:r>
    </w:p>
    <w:p w14:paraId="21763559" w14:textId="77777777" w:rsidR="00D419CF" w:rsidRPr="00D419CF" w:rsidRDefault="00D419CF" w:rsidP="00D419CF">
      <w:pPr>
        <w:pStyle w:val="Heading3"/>
        <w:numPr>
          <w:ilvl w:val="1"/>
          <w:numId w:val="26"/>
        </w:numPr>
        <w:tabs>
          <w:tab w:val="left" w:pos="142"/>
          <w:tab w:val="left" w:pos="284"/>
        </w:tabs>
        <w:spacing w:before="0" w:after="0"/>
        <w:ind w:left="0" w:firstLine="0"/>
        <w:rPr>
          <w:rFonts w:ascii="Times New Roman" w:hAnsi="Times New Roman" w:cs="Times New Roman"/>
          <w:sz w:val="20"/>
          <w:szCs w:val="20"/>
        </w:rPr>
      </w:pPr>
      <w:r w:rsidRPr="00D419CF">
        <w:rPr>
          <w:rFonts w:ascii="Times New Roman" w:hAnsi="Times New Roman" w:cs="Times New Roman"/>
          <w:sz w:val="20"/>
          <w:szCs w:val="20"/>
        </w:rPr>
        <w:t>Tasks and Methods</w:t>
      </w:r>
    </w:p>
    <w:p w14:paraId="67DEEDBF" w14:textId="2DBF546D" w:rsidR="00D419CF" w:rsidRDefault="00D419CF" w:rsidP="00D419CF">
      <w:pPr>
        <w:ind w:firstLine="720"/>
        <w:jc w:val="both"/>
      </w:pPr>
      <w:r>
        <w:t>A sub-</w:t>
      </w:r>
      <w:r w:rsidRPr="00D419CF">
        <w:t xml:space="preserve">section Methods should describe how materials are manipulated, how data are analyzed, which metrics are used, how measures and calculations are done, etc. When </w:t>
      </w:r>
      <w:r w:rsidRPr="00D419CF">
        <w:rPr>
          <w:lang w:val="en-ID"/>
        </w:rPr>
        <w:t>participants</w:t>
      </w:r>
      <w:r w:rsidRPr="00D419CF">
        <w:t xml:space="preserve"> are involved in the experiments, Methods section may include two sub-sections: Tasks and Design and Analysis, Tasks section would include a description of what the participants did during the experiment. Design and Analysis would detail all that done by researchers.</w:t>
      </w:r>
    </w:p>
    <w:p w14:paraId="6E53AEFF" w14:textId="77777777" w:rsidR="00D419CF" w:rsidRPr="00D419CF" w:rsidRDefault="00D419CF" w:rsidP="00D419CF">
      <w:pPr>
        <w:pStyle w:val="ListParagraph"/>
        <w:widowControl w:val="0"/>
        <w:numPr>
          <w:ilvl w:val="2"/>
          <w:numId w:val="19"/>
        </w:numPr>
        <w:autoSpaceDE w:val="0"/>
        <w:autoSpaceDN w:val="0"/>
        <w:spacing w:after="57" w:line="240" w:lineRule="auto"/>
        <w:ind w:left="567" w:hanging="567"/>
        <w:jc w:val="both"/>
        <w:rPr>
          <w:rFonts w:ascii="Times New Roman" w:hAnsi="Times New Roman"/>
          <w:b/>
          <w:bCs/>
          <w:sz w:val="20"/>
          <w:szCs w:val="20"/>
          <w:lang w:val="en-ID"/>
        </w:rPr>
      </w:pPr>
      <w:r w:rsidRPr="00D419CF">
        <w:rPr>
          <w:rFonts w:ascii="Times New Roman" w:hAnsi="Times New Roman"/>
          <w:b/>
          <w:bCs/>
          <w:sz w:val="20"/>
          <w:szCs w:val="20"/>
          <w:lang w:val="en-ID"/>
        </w:rPr>
        <w:t xml:space="preserve">Data Preparation </w:t>
      </w:r>
    </w:p>
    <w:p w14:paraId="1B6D5B15" w14:textId="77777777" w:rsidR="00D419CF" w:rsidRDefault="00D419CF" w:rsidP="00D419CF">
      <w:pPr>
        <w:ind w:firstLine="720"/>
        <w:jc w:val="both"/>
        <w:rPr>
          <w:lang w:val="en-ID"/>
        </w:rPr>
      </w:pPr>
      <w:r w:rsidRPr="00E809A1">
        <w:rPr>
          <w:lang w:val="en-ID"/>
        </w:rPr>
        <w:t>At this stage, the collected data is cleaned, then the</w:t>
      </w:r>
      <w:r>
        <w:rPr>
          <w:lang w:val="en-ID"/>
        </w:rPr>
        <w:t xml:space="preserve"> </w:t>
      </w:r>
      <w:r w:rsidRPr="00E809A1">
        <w:rPr>
          <w:lang w:val="en-ID"/>
        </w:rPr>
        <w:t>text data will be transformed into numerical data (encoding). For</w:t>
      </w:r>
      <w:r>
        <w:rPr>
          <w:lang w:val="en-ID"/>
        </w:rPr>
        <w:t xml:space="preserve"> </w:t>
      </w:r>
      <w:r w:rsidRPr="00E809A1">
        <w:rPr>
          <w:lang w:val="en-ID"/>
        </w:rPr>
        <w:t>empty data, data filling (imputation) will be carried out before</w:t>
      </w:r>
      <w:r>
        <w:rPr>
          <w:lang w:val="en-ID"/>
        </w:rPr>
        <w:t xml:space="preserve"> </w:t>
      </w:r>
      <w:r w:rsidRPr="00E809A1">
        <w:rPr>
          <w:lang w:val="en-ID"/>
        </w:rPr>
        <w:t>the data is used by the model.</w:t>
      </w:r>
    </w:p>
    <w:p w14:paraId="4D4C0494" w14:textId="77777777" w:rsidR="00D419CF" w:rsidRPr="00D419CF" w:rsidRDefault="00D419CF" w:rsidP="00D419CF">
      <w:pPr>
        <w:pStyle w:val="ListParagraph"/>
        <w:widowControl w:val="0"/>
        <w:numPr>
          <w:ilvl w:val="2"/>
          <w:numId w:val="19"/>
        </w:numPr>
        <w:autoSpaceDE w:val="0"/>
        <w:autoSpaceDN w:val="0"/>
        <w:spacing w:after="57" w:line="240" w:lineRule="auto"/>
        <w:ind w:left="567" w:hanging="567"/>
        <w:jc w:val="both"/>
        <w:rPr>
          <w:rFonts w:ascii="Times New Roman" w:hAnsi="Times New Roman"/>
          <w:b/>
          <w:bCs/>
          <w:sz w:val="20"/>
          <w:szCs w:val="20"/>
          <w:lang w:val="en-ID"/>
        </w:rPr>
      </w:pPr>
      <w:r w:rsidRPr="00D419CF">
        <w:rPr>
          <w:rFonts w:ascii="Times New Roman" w:hAnsi="Times New Roman"/>
          <w:b/>
          <w:bCs/>
          <w:sz w:val="20"/>
          <w:szCs w:val="20"/>
          <w:lang w:val="en-ID"/>
        </w:rPr>
        <w:t xml:space="preserve">Machine Learning Model Development </w:t>
      </w:r>
    </w:p>
    <w:p w14:paraId="78587455" w14:textId="6B864745" w:rsidR="00D419CF" w:rsidRPr="00E809A1" w:rsidRDefault="00D419CF" w:rsidP="00D419CF">
      <w:pPr>
        <w:ind w:firstLine="720"/>
        <w:jc w:val="both"/>
        <w:rPr>
          <w:lang w:val="en-ID"/>
        </w:rPr>
      </w:pPr>
      <w:r w:rsidRPr="00E809A1">
        <w:rPr>
          <w:lang w:val="en-ID"/>
        </w:rPr>
        <w:t xml:space="preserve">The collected data will be </w:t>
      </w:r>
      <w:proofErr w:type="spellStart"/>
      <w:r w:rsidRPr="00E809A1">
        <w:rPr>
          <w:lang w:val="en-ID"/>
        </w:rPr>
        <w:t>analyzed</w:t>
      </w:r>
      <w:proofErr w:type="spellEnd"/>
      <w:r w:rsidRPr="00E809A1">
        <w:rPr>
          <w:lang w:val="en-ID"/>
        </w:rPr>
        <w:t xml:space="preserve"> using a machine learning model. Several machine learning models such as Logistic</w:t>
      </w:r>
      <w:r>
        <w:rPr>
          <w:lang w:val="en-ID"/>
        </w:rPr>
        <w:t xml:space="preserve"> </w:t>
      </w:r>
      <w:r w:rsidRPr="00E809A1">
        <w:rPr>
          <w:lang w:val="en-ID"/>
        </w:rPr>
        <w:t>Regression, Random Forest, and Support Vector Machine (SVM) will be used to classify stress, anxiety, and trauma levels in this study. The following is an explanation of machine learning models: - Random Forest is a type of ensemble model consisting of several independent Decision Trees. Each Decision Tree is built using a random subset of the training data and a random subset of features. - Logistic Regression is a model that uses a logistic</w:t>
      </w:r>
      <w:r>
        <w:rPr>
          <w:lang w:val="en-ID"/>
        </w:rPr>
        <w:t xml:space="preserve"> </w:t>
      </w:r>
      <w:r w:rsidRPr="00E809A1">
        <w:rPr>
          <w:lang w:val="en-ID"/>
        </w:rPr>
        <w:t xml:space="preserve">function to find a linear relationship between input </w:t>
      </w:r>
      <w:r w:rsidRPr="00E809A1">
        <w:rPr>
          <w:lang w:val="en-ID"/>
        </w:rPr>
        <w:lastRenderedPageBreak/>
        <w:t xml:space="preserve">variables and the probability that the target variable takes a certain value. </w:t>
      </w:r>
      <w:r>
        <w:rPr>
          <w:lang w:val="en-ID"/>
        </w:rPr>
        <w:t>–</w:t>
      </w:r>
      <w:r w:rsidRPr="00E809A1">
        <w:rPr>
          <w:lang w:val="en-ID"/>
        </w:rPr>
        <w:t xml:space="preserve"> SVM</w:t>
      </w:r>
      <w:r>
        <w:rPr>
          <w:lang w:val="en-ID"/>
        </w:rPr>
        <w:t xml:space="preserve"> </w:t>
      </w:r>
      <w:r w:rsidRPr="00E809A1">
        <w:rPr>
          <w:lang w:val="en-ID"/>
        </w:rPr>
        <w:t>is a model that will find a hyperplane with a feature space that separates as many target classes as possible with a maximum</w:t>
      </w:r>
      <w:r>
        <w:rPr>
          <w:lang w:val="en-ID"/>
        </w:rPr>
        <w:t xml:space="preserve"> </w:t>
      </w:r>
      <w:r w:rsidRPr="00E809A1">
        <w:rPr>
          <w:lang w:val="en-ID"/>
        </w:rPr>
        <w:t xml:space="preserve">margin. </w:t>
      </w:r>
    </w:p>
    <w:p w14:paraId="7473E786" w14:textId="77777777" w:rsidR="00D419CF" w:rsidRPr="008359CA" w:rsidRDefault="00D419CF" w:rsidP="008359CA">
      <w:pPr>
        <w:pStyle w:val="ListParagraph"/>
        <w:widowControl w:val="0"/>
        <w:numPr>
          <w:ilvl w:val="2"/>
          <w:numId w:val="19"/>
        </w:numPr>
        <w:autoSpaceDE w:val="0"/>
        <w:autoSpaceDN w:val="0"/>
        <w:spacing w:after="57" w:line="240" w:lineRule="auto"/>
        <w:ind w:left="567" w:hanging="567"/>
        <w:jc w:val="both"/>
        <w:rPr>
          <w:rFonts w:ascii="Times New Roman" w:hAnsi="Times New Roman"/>
          <w:b/>
          <w:bCs/>
          <w:sz w:val="20"/>
          <w:szCs w:val="20"/>
          <w:lang w:val="en-ID"/>
        </w:rPr>
      </w:pPr>
      <w:r w:rsidRPr="008359CA">
        <w:rPr>
          <w:rFonts w:ascii="Times New Roman" w:hAnsi="Times New Roman"/>
          <w:b/>
          <w:bCs/>
          <w:sz w:val="20"/>
          <w:szCs w:val="20"/>
          <w:lang w:val="en-ID"/>
        </w:rPr>
        <w:t xml:space="preserve">Model Results </w:t>
      </w:r>
    </w:p>
    <w:p w14:paraId="1D85E942" w14:textId="72C0B175" w:rsidR="00D419CF" w:rsidRDefault="00D419CF" w:rsidP="008359CA">
      <w:pPr>
        <w:ind w:firstLine="720"/>
        <w:jc w:val="both"/>
        <w:rPr>
          <w:lang w:val="en-ID"/>
        </w:rPr>
      </w:pPr>
      <w:r w:rsidRPr="00E809A1">
        <w:rPr>
          <w:lang w:val="en-ID"/>
        </w:rPr>
        <w:t xml:space="preserve">One of the main aspects of machine learning model results is prediction accuracy </w:t>
      </w:r>
      <w:r w:rsidR="007803EA">
        <w:rPr>
          <w:lang w:val="en-ID"/>
        </w:rPr>
        <w:fldChar w:fldCharType="begin" w:fldLock="1"/>
      </w:r>
      <w:r w:rsidR="007803EA">
        <w:rPr>
          <w:lang w:val="en-ID"/>
        </w:rPr>
        <w:instrText>ADDIN CSL_CITATION {"citationItems":[{"id":"ITEM-1","itemData":{"author":[{"dropping-particle":"","family":"Lina","given":"Ismi Rizqa","non-dropping-particle":"","parse-names":false,"suffix":""},{"dropping-particle":"","family":"Retnowati","given":"Sri","non-dropping-particle":"","parse-names":false,"suffix":""},{"dropping-particle":"","family":"Studi","given":"Program","non-dropping-particle":"","parse-names":false,"suffix":""},{"dropping-particle":"","family":"Data","given":"Sains","non-dropping-particle":"","parse-names":false,"suffix":""},{"dropping-particle":"","family":"Insan","given":"Universitas","non-dropping-particle":"","parse-names":false,"suffix":""},{"dropping-particle":"","family":"Indonesia","given":"Cita","non-dropping-particle":"","parse-names":false,"suffix":""},{"dropping-particle":"","family":"Riau","given":"Universitas Muhammadiyah","non-dropping-particle":"","parse-names":false,"suffix":""},{"dropping-particle":"","family":"Neighboor","given":"K-nearest","non-dropping-particle":"","parse-names":false,"suffix":""},{"dropping-particle":"","family":"Selection","given":"Forward","non-dropping-particle":"","parse-names":false,"suffix":""}],"id":"ITEM-1","issue":"3","issued":{"date-parts":[["2024"]]},"page":"695-704","title":"Jurnal Computer Science and Information Technology ( CoSciTech ) Metode K-Nearest Neighbor Berbasis Forward Selection untuk Identifikasi Status Stunting pada K-Nearest Neighbor Method Based on Forward Selection to Identify Stunting Status in Toddlers","type":"article-journal","volume":"5"},"uris":["http://www.mendeley.com/documents/?uuid=b4848608-a34f-4947-8928-0f140f8b8dba"]}],"mendeley":{"formattedCitation":"[19]","plainTextFormattedCitation":"[19]"},"properties":{"noteIndex":0},"schema":"https://github.com/citation-style-language/schema/raw/master/csl-citation.json"}</w:instrText>
      </w:r>
      <w:r w:rsidR="007803EA">
        <w:rPr>
          <w:lang w:val="en-ID"/>
        </w:rPr>
        <w:fldChar w:fldCharType="separate"/>
      </w:r>
      <w:r w:rsidR="007803EA" w:rsidRPr="007803EA">
        <w:rPr>
          <w:noProof/>
          <w:lang w:val="en-ID"/>
        </w:rPr>
        <w:t>[19]</w:t>
      </w:r>
      <w:r w:rsidR="007803EA">
        <w:rPr>
          <w:lang w:val="en-ID"/>
        </w:rPr>
        <w:fldChar w:fldCharType="end"/>
      </w:r>
      <w:r w:rsidRPr="00E809A1">
        <w:rPr>
          <w:lang w:val="en-ID"/>
        </w:rPr>
        <w:t xml:space="preserve">. High accuracy indicates that the model has a good ability to learn patterns from training data and apply them accurately to new data. Accuracy is calculated in equation </w:t>
      </w:r>
      <w:r>
        <w:rPr>
          <w:lang w:val="en-ID"/>
        </w:rPr>
        <w:t>(</w:t>
      </w:r>
      <w:r w:rsidRPr="00E809A1">
        <w:rPr>
          <w:lang w:val="en-ID"/>
        </w:rPr>
        <w:t>1</w:t>
      </w:r>
      <w:r>
        <w:rPr>
          <w:lang w:val="en-ID"/>
        </w:rPr>
        <w:t>)</w:t>
      </w:r>
      <w:r w:rsidRPr="00E809A1">
        <w:rPr>
          <w:lang w:val="en-ID"/>
        </w:rPr>
        <w:t>.</w:t>
      </w:r>
    </w:p>
    <w:p w14:paraId="355239E8" w14:textId="77777777" w:rsidR="00D419CF" w:rsidRDefault="00D419CF" w:rsidP="00D419CF">
      <w:pPr>
        <w:pStyle w:val="ListParagraph"/>
        <w:ind w:left="284"/>
        <w:rPr>
          <w:lang w:val="en-ID"/>
        </w:rPr>
      </w:pPr>
    </w:p>
    <w:p w14:paraId="233997AC" w14:textId="39D3A8A8" w:rsidR="00D419CF" w:rsidRPr="00717F8A" w:rsidRDefault="00D419CF" w:rsidP="00717F8A">
      <w:pPr>
        <w:pStyle w:val="ListParagraph"/>
        <w:ind w:left="1724" w:firstLine="436"/>
        <w:rPr>
          <w:lang w:val="en-ID"/>
        </w:rPr>
      </w:pPr>
      <m:oMath>
        <m:r>
          <w:rPr>
            <w:rFonts w:ascii="Cambria Math" w:hAnsi="Cambria Math"/>
            <w:sz w:val="20"/>
            <w:szCs w:val="20"/>
            <w:lang w:val="en-ID"/>
          </w:rPr>
          <m:t>Acuitas=</m:t>
        </m:r>
        <m:f>
          <m:fPr>
            <m:ctrlPr>
              <w:rPr>
                <w:rFonts w:ascii="Cambria Math" w:hAnsi="Cambria Math"/>
                <w:i/>
                <w:sz w:val="20"/>
                <w:szCs w:val="20"/>
                <w:lang w:val="en-ID"/>
              </w:rPr>
            </m:ctrlPr>
          </m:fPr>
          <m:num>
            <m:r>
              <w:rPr>
                <w:rFonts w:ascii="Cambria Math" w:hAnsi="Cambria Math"/>
                <w:sz w:val="20"/>
                <w:szCs w:val="20"/>
              </w:rPr>
              <m:t>Number of correct predictions</m:t>
            </m:r>
          </m:num>
          <m:den>
            <m:r>
              <w:rPr>
                <w:rFonts w:ascii="Cambria Math" w:hAnsi="Cambria Math"/>
                <w:sz w:val="20"/>
                <w:szCs w:val="20"/>
              </w:rPr>
              <m:t>Total number of samples</m:t>
            </m:r>
          </m:den>
        </m:f>
        <m:r>
          <w:rPr>
            <w:rFonts w:ascii="Cambria Math" w:hAnsi="Cambria Math"/>
            <w:sz w:val="20"/>
            <w:szCs w:val="20"/>
            <w:lang w:val="en-ID"/>
          </w:rPr>
          <m:t>×100%</m:t>
        </m:r>
      </m:oMath>
      <w:r w:rsidRPr="008359CA">
        <w:rPr>
          <w:sz w:val="20"/>
          <w:szCs w:val="20"/>
          <w:lang w:val="en-ID"/>
        </w:rPr>
        <w:tab/>
      </w:r>
      <w:r w:rsidRPr="008359CA">
        <w:rPr>
          <w:rFonts w:ascii="Times New Roman" w:hAnsi="Times New Roman"/>
          <w:sz w:val="20"/>
          <w:szCs w:val="20"/>
          <w:lang w:val="en-ID"/>
        </w:rPr>
        <w:t xml:space="preserve">             </w:t>
      </w:r>
      <w:r w:rsidR="008359CA">
        <w:rPr>
          <w:rFonts w:ascii="Times New Roman" w:hAnsi="Times New Roman"/>
          <w:sz w:val="20"/>
          <w:szCs w:val="20"/>
          <w:lang w:val="en-ID"/>
        </w:rPr>
        <w:tab/>
      </w:r>
      <w:r w:rsidRPr="008359CA">
        <w:rPr>
          <w:rFonts w:ascii="Times New Roman" w:hAnsi="Times New Roman"/>
          <w:sz w:val="20"/>
          <w:szCs w:val="20"/>
          <w:lang w:val="en-ID"/>
        </w:rPr>
        <w:t xml:space="preserve"> (1)</w:t>
      </w:r>
    </w:p>
    <w:p w14:paraId="737C62F8" w14:textId="77777777" w:rsidR="00D419CF" w:rsidRPr="008359CA" w:rsidRDefault="00D419CF" w:rsidP="008359CA">
      <w:pPr>
        <w:pStyle w:val="ListParagraph"/>
        <w:widowControl w:val="0"/>
        <w:numPr>
          <w:ilvl w:val="2"/>
          <w:numId w:val="19"/>
        </w:numPr>
        <w:autoSpaceDE w:val="0"/>
        <w:autoSpaceDN w:val="0"/>
        <w:spacing w:after="57" w:line="240" w:lineRule="auto"/>
        <w:ind w:left="567" w:hanging="567"/>
        <w:jc w:val="both"/>
        <w:rPr>
          <w:rFonts w:ascii="Times New Roman" w:hAnsi="Times New Roman"/>
          <w:b/>
          <w:bCs/>
          <w:sz w:val="20"/>
          <w:szCs w:val="20"/>
          <w:lang w:val="en-ID"/>
        </w:rPr>
      </w:pPr>
      <w:r w:rsidRPr="008359CA">
        <w:rPr>
          <w:rFonts w:ascii="Times New Roman" w:hAnsi="Times New Roman"/>
          <w:b/>
          <w:bCs/>
          <w:sz w:val="20"/>
          <w:szCs w:val="20"/>
          <w:lang w:val="en-ID"/>
        </w:rPr>
        <w:t xml:space="preserve">Model Evaluation </w:t>
      </w:r>
    </w:p>
    <w:p w14:paraId="05EDBADC" w14:textId="77777777" w:rsidR="00D419CF" w:rsidRDefault="00D419CF" w:rsidP="008359CA">
      <w:pPr>
        <w:ind w:firstLine="720"/>
        <w:jc w:val="both"/>
        <w:rPr>
          <w:lang w:val="en-ID"/>
        </w:rPr>
      </w:pPr>
      <w:r w:rsidRPr="00E809A1">
        <w:rPr>
          <w:lang w:val="en-ID"/>
        </w:rPr>
        <w:t>In addition to accuracy, machine learning models are also</w:t>
      </w:r>
      <w:r>
        <w:rPr>
          <w:lang w:val="en-ID"/>
        </w:rPr>
        <w:t xml:space="preserve"> </w:t>
      </w:r>
      <w:r w:rsidRPr="00E809A1">
        <w:rPr>
          <w:lang w:val="en-ID"/>
        </w:rPr>
        <w:t>evaluated using performance evaluation metrics such as</w:t>
      </w:r>
      <w:r>
        <w:rPr>
          <w:lang w:val="en-ID"/>
        </w:rPr>
        <w:t xml:space="preserve"> </w:t>
      </w:r>
      <w:r w:rsidRPr="00E809A1">
        <w:rPr>
          <w:lang w:val="en-ID"/>
        </w:rPr>
        <w:t>precision, sensitivity (recall), specificity, F1</w:t>
      </w:r>
      <w:r>
        <w:rPr>
          <w:lang w:val="en-ID"/>
        </w:rPr>
        <w:t xml:space="preserve"> </w:t>
      </w:r>
      <w:r w:rsidRPr="00E809A1">
        <w:rPr>
          <w:lang w:val="en-ID"/>
        </w:rPr>
        <w:t>score, and area under the ROC curve AUC Curve and Confusion Matrix.</w:t>
      </w:r>
      <w:r>
        <w:rPr>
          <w:lang w:val="en-ID"/>
        </w:rPr>
        <w:t xml:space="preserve"> </w:t>
      </w:r>
      <w:r w:rsidRPr="00E809A1">
        <w:rPr>
          <w:lang w:val="en-ID"/>
        </w:rPr>
        <w:t xml:space="preserve">In the confusion matrix above, there are four main cells shown in Figure </w:t>
      </w:r>
      <w:r>
        <w:rPr>
          <w:lang w:val="en-ID"/>
        </w:rPr>
        <w:t>2</w:t>
      </w:r>
      <w:r w:rsidRPr="00E809A1">
        <w:rPr>
          <w:lang w:val="en-ID"/>
        </w:rPr>
        <w:t xml:space="preserve">. </w:t>
      </w:r>
    </w:p>
    <w:p w14:paraId="5AC9208B" w14:textId="77777777" w:rsidR="008359CA" w:rsidRDefault="008359CA" w:rsidP="008359CA">
      <w:pPr>
        <w:ind w:firstLine="720"/>
        <w:jc w:val="both"/>
        <w:rPr>
          <w:lang w:val="en-ID"/>
        </w:rPr>
      </w:pPr>
    </w:p>
    <w:p w14:paraId="0C2639A8" w14:textId="77777777" w:rsidR="00D419CF" w:rsidRDefault="00D419CF" w:rsidP="00D419CF">
      <w:pPr>
        <w:pStyle w:val="ListParagraph"/>
        <w:ind w:left="284"/>
        <w:jc w:val="center"/>
        <w:rPr>
          <w:lang w:val="en-ID"/>
        </w:rPr>
      </w:pPr>
      <w:r>
        <w:rPr>
          <w:rFonts w:ascii="Verdana"/>
          <w:noProof/>
          <w:sz w:val="20"/>
        </w:rPr>
        <w:drawing>
          <wp:inline distT="0" distB="0" distL="0" distR="0" wp14:anchorId="7F728918" wp14:editId="18304C06">
            <wp:extent cx="2057400" cy="1473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066606" cy="1479792"/>
                    </a:xfrm>
                    <a:prstGeom prst="rect">
                      <a:avLst/>
                    </a:prstGeom>
                  </pic:spPr>
                </pic:pic>
              </a:graphicData>
            </a:graphic>
          </wp:inline>
        </w:drawing>
      </w:r>
    </w:p>
    <w:p w14:paraId="48DFF198" w14:textId="77777777" w:rsidR="008359CA" w:rsidRDefault="008359CA" w:rsidP="00D419CF">
      <w:pPr>
        <w:pStyle w:val="ListParagraph"/>
        <w:ind w:left="284"/>
        <w:jc w:val="center"/>
        <w:rPr>
          <w:lang w:val="en-ID"/>
        </w:rPr>
      </w:pPr>
    </w:p>
    <w:p w14:paraId="5E88616D" w14:textId="6B1161BD" w:rsidR="00D419CF" w:rsidRPr="008359CA" w:rsidRDefault="00D419CF" w:rsidP="008359CA">
      <w:pPr>
        <w:pStyle w:val="ListParagraph"/>
        <w:ind w:left="284"/>
        <w:jc w:val="center"/>
        <w:rPr>
          <w:rFonts w:ascii="Times New Roman" w:hAnsi="Times New Roman"/>
          <w:sz w:val="20"/>
          <w:szCs w:val="20"/>
        </w:rPr>
      </w:pPr>
      <w:r w:rsidRPr="008359CA">
        <w:rPr>
          <w:rFonts w:ascii="Times New Roman" w:hAnsi="Times New Roman"/>
          <w:sz w:val="20"/>
          <w:szCs w:val="20"/>
          <w:lang w:val="en-ID"/>
        </w:rPr>
        <w:t>Fig</w:t>
      </w:r>
      <w:r w:rsidR="008359CA" w:rsidRPr="008359CA">
        <w:rPr>
          <w:rFonts w:ascii="Times New Roman" w:hAnsi="Times New Roman"/>
          <w:sz w:val="20"/>
          <w:szCs w:val="20"/>
          <w:lang w:val="en-ID"/>
        </w:rPr>
        <w:t>ure</w:t>
      </w:r>
      <w:r w:rsidRPr="008359CA">
        <w:rPr>
          <w:rFonts w:ascii="Times New Roman" w:hAnsi="Times New Roman"/>
          <w:sz w:val="20"/>
          <w:szCs w:val="20"/>
          <w:lang w:val="en-ID"/>
        </w:rPr>
        <w:t xml:space="preserve"> 2. </w:t>
      </w:r>
      <w:r w:rsidRPr="008359CA">
        <w:rPr>
          <w:rFonts w:ascii="Times New Roman" w:hAnsi="Times New Roman"/>
          <w:sz w:val="20"/>
          <w:szCs w:val="20"/>
        </w:rPr>
        <w:t>Confusion Matrix</w:t>
      </w:r>
    </w:p>
    <w:p w14:paraId="3632EFB6" w14:textId="1829E795" w:rsidR="00D419CF" w:rsidRPr="00717F8A" w:rsidRDefault="00D419CF" w:rsidP="00717F8A">
      <w:pPr>
        <w:jc w:val="both"/>
        <w:rPr>
          <w:lang w:val="en-ID"/>
        </w:rPr>
      </w:pPr>
      <w:r w:rsidRPr="0030418C">
        <w:rPr>
          <w:lang w:val="en-ID"/>
        </w:rPr>
        <w:t>Here is an explanation of the confusion matrix (evaluation matrix) above.</w:t>
      </w:r>
      <w:r w:rsidR="008359CA">
        <w:rPr>
          <w:lang w:val="en-ID"/>
        </w:rPr>
        <w:t xml:space="preserve"> </w:t>
      </w:r>
      <w:r w:rsidRPr="0030418C">
        <w:rPr>
          <w:lang w:val="en-ID"/>
        </w:rPr>
        <w:t>True Positive (TP): The number of samples that are correctly predicted as positive by the model.</w:t>
      </w:r>
      <w:r w:rsidR="008359CA">
        <w:rPr>
          <w:lang w:val="en-ID"/>
        </w:rPr>
        <w:t xml:space="preserve"> </w:t>
      </w:r>
      <w:r w:rsidRPr="0030418C">
        <w:rPr>
          <w:lang w:val="en-ID"/>
        </w:rPr>
        <w:t>False Negative (FN): The number of samples that are incorrectly predicted as negative by the model when they</w:t>
      </w:r>
      <w:r>
        <w:rPr>
          <w:lang w:val="en-ID"/>
        </w:rPr>
        <w:t xml:space="preserve"> </w:t>
      </w:r>
      <w:r w:rsidRPr="0030418C">
        <w:rPr>
          <w:lang w:val="en-ID"/>
        </w:rPr>
        <w:t>should be positive.</w:t>
      </w:r>
      <w:r w:rsidR="008359CA">
        <w:rPr>
          <w:lang w:val="en-ID"/>
        </w:rPr>
        <w:t xml:space="preserve"> </w:t>
      </w:r>
      <w:r w:rsidRPr="0030418C">
        <w:rPr>
          <w:lang w:val="en-ID"/>
        </w:rPr>
        <w:t>False Positive (FP): The number of samples that are incorrectly predicted as positive by the model when they should be negative.</w:t>
      </w:r>
      <w:r w:rsidR="008359CA">
        <w:rPr>
          <w:lang w:val="en-ID"/>
        </w:rPr>
        <w:t xml:space="preserve"> </w:t>
      </w:r>
      <w:r w:rsidRPr="0030418C">
        <w:rPr>
          <w:lang w:val="en-ID"/>
        </w:rPr>
        <w:t xml:space="preserve">True Negative (TN): The number of samples correctly predicted as negative by the model </w:t>
      </w:r>
      <w:r w:rsidR="00FE4480">
        <w:rPr>
          <w:lang w:val="en-ID"/>
        </w:rPr>
        <w:fldChar w:fldCharType="begin" w:fldLock="1"/>
      </w:r>
      <w:r w:rsidR="007803EA">
        <w:rPr>
          <w:lang w:val="en-ID"/>
        </w:rPr>
        <w:instrText>ADDIN CSL_CITATION {"citationItems":[{"id":"ITEM-1","itemData":{"DOI":"10.30591/polektro.v12i3.6591","ISSN":"2301-6949","abstract":"This paper investigates the effectiveness of the Decision Tree Classifier in predicting loan status, a critical task in the financial sector. The study utilizes a dataset containing various attributes of loan applicants such as income, credit score, employment status, and loan amount. The dataset is preprocessed to handle missing values and categorical variables. Feature importance is analyzed to understand the key factors influencing loan approval decisions. A Decision Tree Classifier model is trained and evaluated using performance metrics such as accuracy, precision, recall, and F1-score. The results demonstrate the feasibility of using Decision Trees for loan status prediction and provide insights into the decision-making process of loan approval.","author":[{"dropping-particle":"","family":"Aisyah","given":"Siti","non-dropping-particle":"","parse-names":false,"suffix":""}],"container-title":"Power Elektronik : Jurnal Orang Elektro","id":"ITEM-1","issue":"1","issued":{"date-parts":[["2024"]]},"page":"68-70","title":"Loan Status Prediction Using Decision Tree Classifier","type":"article-journal","volume":"13"},"uris":["http://www.mendeley.com/documents/?uuid=3a539368-cb76-44ac-ad25-4db92b8df06b"]}],"mendeley":{"formattedCitation":"[20]","plainTextFormattedCitation":"[20]","previouslyFormattedCitation":"[19]"},"properties":{"noteIndex":0},"schema":"https://github.com/citation-style-language/schema/raw/master/csl-citation.json"}</w:instrText>
      </w:r>
      <w:r w:rsidR="00FE4480">
        <w:rPr>
          <w:lang w:val="en-ID"/>
        </w:rPr>
        <w:fldChar w:fldCharType="separate"/>
      </w:r>
      <w:r w:rsidR="007803EA" w:rsidRPr="007803EA">
        <w:rPr>
          <w:noProof/>
          <w:lang w:val="en-ID"/>
        </w:rPr>
        <w:t>[20]</w:t>
      </w:r>
      <w:r w:rsidR="00FE4480">
        <w:rPr>
          <w:lang w:val="en-ID"/>
        </w:rPr>
        <w:fldChar w:fldCharType="end"/>
      </w:r>
      <w:r w:rsidRPr="0030418C">
        <w:rPr>
          <w:lang w:val="en-ID"/>
        </w:rPr>
        <w:t>.</w:t>
      </w:r>
      <w:r w:rsidR="008359CA">
        <w:rPr>
          <w:lang w:val="en-ID"/>
        </w:rPr>
        <w:t xml:space="preserve"> </w:t>
      </w:r>
      <w:r w:rsidRPr="008359CA">
        <w:rPr>
          <w:lang w:val="en-ID"/>
        </w:rPr>
        <w:t>From the confusion matrix, you can calculate various performance evaluation metrics such as accuracy in equation (2), precision in equation (3), recall in equation (4), and F1-score in equation (5). Here are the formulas for these metrics:</w:t>
      </w:r>
    </w:p>
    <w:p w14:paraId="5B22E95D" w14:textId="411E31A3" w:rsidR="00D419CF" w:rsidRPr="008359CA" w:rsidRDefault="00D419CF" w:rsidP="00944585">
      <w:pPr>
        <w:pStyle w:val="ListParagraph"/>
        <w:ind w:left="2444" w:firstLine="436"/>
        <w:rPr>
          <w:rFonts w:ascii="Times New Roman" w:hAnsi="Times New Roman"/>
          <w:sz w:val="20"/>
          <w:szCs w:val="20"/>
          <w:lang w:val="en-ID"/>
        </w:rPr>
      </w:pPr>
      <m:oMath>
        <m:r>
          <w:rPr>
            <w:rFonts w:ascii="Cambria Math" w:hAnsi="Cambria Math"/>
            <w:sz w:val="20"/>
            <w:szCs w:val="20"/>
            <w:lang w:val="en-ID"/>
          </w:rPr>
          <m:t>Acuitas=</m:t>
        </m:r>
        <m:f>
          <m:fPr>
            <m:ctrlPr>
              <w:rPr>
                <w:rFonts w:ascii="Cambria Math" w:hAnsi="Cambria Math"/>
                <w:i/>
                <w:sz w:val="20"/>
                <w:szCs w:val="20"/>
                <w:lang w:val="en-ID"/>
              </w:rPr>
            </m:ctrlPr>
          </m:fPr>
          <m:num>
            <m:r>
              <w:rPr>
                <w:rFonts w:ascii="Cambria Math" w:hAnsi="Cambria Math"/>
                <w:sz w:val="20"/>
                <w:szCs w:val="20"/>
                <w:lang w:val="en-ID"/>
              </w:rPr>
              <m:t>TP+TN</m:t>
            </m:r>
          </m:num>
          <m:den>
            <m:r>
              <w:rPr>
                <w:rFonts w:ascii="Cambria Math" w:hAnsi="Cambria Math"/>
                <w:sz w:val="20"/>
                <w:szCs w:val="20"/>
                <w:lang w:val="en-ID"/>
              </w:rPr>
              <m:t>TP+FN+FP+TN</m:t>
            </m:r>
          </m:den>
        </m:f>
      </m:oMath>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944585">
        <w:rPr>
          <w:rFonts w:ascii="Times New Roman" w:hAnsi="Times New Roman"/>
          <w:sz w:val="20"/>
          <w:szCs w:val="20"/>
          <w:lang w:val="en-ID"/>
        </w:rPr>
        <w:tab/>
      </w:r>
      <w:r w:rsidRPr="008359CA">
        <w:rPr>
          <w:rFonts w:ascii="Times New Roman" w:hAnsi="Times New Roman"/>
          <w:sz w:val="20"/>
          <w:szCs w:val="20"/>
          <w:lang w:val="en-ID"/>
        </w:rPr>
        <w:t xml:space="preserve"> (2)</w:t>
      </w:r>
    </w:p>
    <w:p w14:paraId="655F833A" w14:textId="77777777" w:rsidR="00D419CF" w:rsidRPr="008359CA" w:rsidRDefault="00D419CF" w:rsidP="00D419CF">
      <w:pPr>
        <w:pStyle w:val="ListParagraph"/>
        <w:ind w:left="284"/>
        <w:rPr>
          <w:rFonts w:ascii="Times New Roman" w:hAnsi="Times New Roman"/>
          <w:sz w:val="20"/>
          <w:szCs w:val="20"/>
          <w:lang w:val="en-ID"/>
        </w:rPr>
      </w:pPr>
    </w:p>
    <w:p w14:paraId="1C3A3E3C" w14:textId="1B39B1F3" w:rsidR="00D419CF" w:rsidRPr="008359CA" w:rsidRDefault="00D419CF" w:rsidP="00944585">
      <w:pPr>
        <w:pStyle w:val="ListParagraph"/>
        <w:ind w:left="2444" w:firstLine="436"/>
        <w:rPr>
          <w:rFonts w:ascii="Times New Roman" w:hAnsi="Times New Roman"/>
          <w:sz w:val="20"/>
          <w:szCs w:val="20"/>
        </w:rPr>
      </w:pPr>
      <m:oMath>
        <m:r>
          <w:rPr>
            <w:rFonts w:ascii="Cambria Math" w:hAnsi="Cambria Math"/>
            <w:sz w:val="20"/>
            <w:szCs w:val="20"/>
          </w:rPr>
          <m:t>Precision=</m:t>
        </m:r>
        <m:f>
          <m:fPr>
            <m:ctrlPr>
              <w:rPr>
                <w:rFonts w:ascii="Cambria Math" w:hAnsi="Cambria Math"/>
                <w:i/>
                <w:sz w:val="20"/>
                <w:szCs w:val="20"/>
              </w:rPr>
            </m:ctrlPr>
          </m:fPr>
          <m:num>
            <m:r>
              <w:rPr>
                <w:rFonts w:ascii="Cambria Math" w:hAnsi="Cambria Math"/>
                <w:sz w:val="20"/>
                <w:szCs w:val="20"/>
              </w:rPr>
              <m:t>TP</m:t>
            </m:r>
          </m:num>
          <m:den>
            <m:r>
              <w:rPr>
                <w:rFonts w:ascii="Cambria Math" w:hAnsi="Cambria Math"/>
                <w:sz w:val="20"/>
                <w:szCs w:val="20"/>
              </w:rPr>
              <m:t>TP+FP</m:t>
            </m:r>
          </m:den>
        </m:f>
      </m:oMath>
      <w:r w:rsidRPr="008359CA">
        <w:rPr>
          <w:rFonts w:ascii="Times New Roman" w:hAnsi="Times New Roman"/>
          <w:sz w:val="20"/>
          <w:szCs w:val="20"/>
        </w:rPr>
        <w:tab/>
      </w:r>
      <w:r w:rsidR="008359CA">
        <w:rPr>
          <w:rFonts w:ascii="Times New Roman" w:hAnsi="Times New Roman"/>
          <w:sz w:val="20"/>
          <w:szCs w:val="20"/>
        </w:rPr>
        <w:tab/>
      </w:r>
      <w:r w:rsidR="008359CA">
        <w:rPr>
          <w:rFonts w:ascii="Times New Roman" w:hAnsi="Times New Roman"/>
          <w:sz w:val="20"/>
          <w:szCs w:val="20"/>
        </w:rPr>
        <w:tab/>
      </w:r>
      <w:r w:rsidR="008359CA">
        <w:rPr>
          <w:rFonts w:ascii="Times New Roman" w:hAnsi="Times New Roman"/>
          <w:sz w:val="20"/>
          <w:szCs w:val="20"/>
        </w:rPr>
        <w:tab/>
      </w:r>
      <w:r w:rsidR="008359CA">
        <w:rPr>
          <w:rFonts w:ascii="Times New Roman" w:hAnsi="Times New Roman"/>
          <w:sz w:val="20"/>
          <w:szCs w:val="20"/>
        </w:rPr>
        <w:tab/>
      </w:r>
      <w:r w:rsidR="00944585">
        <w:rPr>
          <w:rFonts w:ascii="Times New Roman" w:hAnsi="Times New Roman"/>
          <w:sz w:val="20"/>
          <w:szCs w:val="20"/>
        </w:rPr>
        <w:t xml:space="preserve"> </w:t>
      </w:r>
      <w:r w:rsidRPr="008359CA">
        <w:rPr>
          <w:rFonts w:ascii="Times New Roman" w:hAnsi="Times New Roman"/>
          <w:sz w:val="20"/>
          <w:szCs w:val="20"/>
        </w:rPr>
        <w:t>(3)</w:t>
      </w:r>
    </w:p>
    <w:p w14:paraId="0172486F" w14:textId="77777777" w:rsidR="00D419CF" w:rsidRPr="008359CA" w:rsidRDefault="00D419CF" w:rsidP="00D419CF">
      <w:pPr>
        <w:pStyle w:val="ListParagraph"/>
        <w:ind w:left="284"/>
        <w:rPr>
          <w:rFonts w:ascii="Times New Roman" w:hAnsi="Times New Roman"/>
          <w:sz w:val="20"/>
          <w:szCs w:val="20"/>
          <w:lang w:val="en-ID"/>
        </w:rPr>
      </w:pPr>
    </w:p>
    <w:p w14:paraId="18518C7D" w14:textId="0F6C7C70" w:rsidR="00D419CF" w:rsidRPr="008359CA" w:rsidRDefault="00D419CF" w:rsidP="00944585">
      <w:pPr>
        <w:pStyle w:val="ListParagraph"/>
        <w:ind w:left="2444" w:firstLine="436"/>
        <w:rPr>
          <w:rFonts w:ascii="Times New Roman" w:hAnsi="Times New Roman"/>
          <w:sz w:val="20"/>
          <w:szCs w:val="20"/>
        </w:rPr>
      </w:pPr>
      <m:oMath>
        <m:r>
          <w:rPr>
            <w:rFonts w:ascii="Cambria Math" w:hAnsi="Cambria Math"/>
            <w:sz w:val="20"/>
            <w:szCs w:val="20"/>
          </w:rPr>
          <m:t xml:space="preserve">Recall </m:t>
        </m:r>
        <m:d>
          <m:dPr>
            <m:ctrlPr>
              <w:rPr>
                <w:rFonts w:ascii="Cambria Math" w:hAnsi="Cambria Math"/>
                <w:i/>
                <w:sz w:val="20"/>
                <w:szCs w:val="20"/>
              </w:rPr>
            </m:ctrlPr>
          </m:dPr>
          <m:e>
            <m:r>
              <w:rPr>
                <w:rFonts w:ascii="Cambria Math" w:hAnsi="Cambria Math"/>
                <w:sz w:val="20"/>
                <w:szCs w:val="20"/>
              </w:rPr>
              <m:t>sensitivity</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TP</m:t>
            </m:r>
          </m:num>
          <m:den>
            <m:r>
              <w:rPr>
                <w:rFonts w:ascii="Cambria Math" w:hAnsi="Cambria Math"/>
                <w:sz w:val="20"/>
                <w:szCs w:val="20"/>
              </w:rPr>
              <m:t>TP+FN</m:t>
            </m:r>
          </m:den>
        </m:f>
      </m:oMath>
      <w:r w:rsidR="008359CA">
        <w:rPr>
          <w:rFonts w:ascii="Times New Roman" w:hAnsi="Times New Roman"/>
          <w:sz w:val="20"/>
          <w:szCs w:val="20"/>
        </w:rPr>
        <w:tab/>
      </w:r>
      <w:r w:rsidR="008359CA">
        <w:rPr>
          <w:rFonts w:ascii="Times New Roman" w:hAnsi="Times New Roman"/>
          <w:sz w:val="20"/>
          <w:szCs w:val="20"/>
        </w:rPr>
        <w:tab/>
      </w:r>
      <w:r w:rsidR="008359CA">
        <w:rPr>
          <w:rFonts w:ascii="Times New Roman" w:hAnsi="Times New Roman"/>
          <w:sz w:val="20"/>
          <w:szCs w:val="20"/>
        </w:rPr>
        <w:tab/>
      </w:r>
      <w:r w:rsidR="008359CA">
        <w:rPr>
          <w:rFonts w:ascii="Times New Roman" w:hAnsi="Times New Roman"/>
          <w:sz w:val="20"/>
          <w:szCs w:val="20"/>
        </w:rPr>
        <w:tab/>
      </w:r>
      <w:r w:rsidR="00944585">
        <w:rPr>
          <w:rFonts w:ascii="Times New Roman" w:hAnsi="Times New Roman"/>
          <w:sz w:val="20"/>
          <w:szCs w:val="20"/>
        </w:rPr>
        <w:t xml:space="preserve"> </w:t>
      </w:r>
      <w:r w:rsidRPr="008359CA">
        <w:rPr>
          <w:rFonts w:ascii="Times New Roman" w:hAnsi="Times New Roman"/>
          <w:sz w:val="20"/>
          <w:szCs w:val="20"/>
        </w:rPr>
        <w:t>(4)</w:t>
      </w:r>
    </w:p>
    <w:p w14:paraId="0B8759CD" w14:textId="77777777" w:rsidR="00D419CF" w:rsidRPr="008359CA" w:rsidRDefault="00D419CF" w:rsidP="00D419CF">
      <w:pPr>
        <w:pStyle w:val="ListParagraph"/>
        <w:ind w:left="284"/>
        <w:rPr>
          <w:rFonts w:ascii="Times New Roman" w:hAnsi="Times New Roman"/>
          <w:sz w:val="20"/>
          <w:szCs w:val="20"/>
        </w:rPr>
      </w:pPr>
    </w:p>
    <w:p w14:paraId="4E2A7C7F" w14:textId="16279116" w:rsidR="00D419CF" w:rsidRPr="00717F8A" w:rsidRDefault="00D419CF" w:rsidP="00717F8A">
      <w:pPr>
        <w:pStyle w:val="ListParagraph"/>
        <w:ind w:left="2008" w:firstLine="436"/>
        <w:rPr>
          <w:rFonts w:ascii="Times New Roman" w:hAnsi="Times New Roman"/>
          <w:sz w:val="20"/>
          <w:szCs w:val="20"/>
          <w:lang w:val="en-ID"/>
        </w:rPr>
      </w:pPr>
      <m:oMath>
        <m:r>
          <w:rPr>
            <w:rFonts w:ascii="Cambria Math" w:hAnsi="Cambria Math"/>
            <w:sz w:val="20"/>
            <w:szCs w:val="20"/>
            <w:lang w:val="en-ID"/>
          </w:rPr>
          <m:t>F1-Score=2×</m:t>
        </m:r>
        <m:f>
          <m:fPr>
            <m:ctrlPr>
              <w:rPr>
                <w:rFonts w:ascii="Cambria Math" w:hAnsi="Cambria Math"/>
                <w:i/>
                <w:sz w:val="20"/>
                <w:szCs w:val="20"/>
                <w:lang w:val="en-ID"/>
              </w:rPr>
            </m:ctrlPr>
          </m:fPr>
          <m:num>
            <m:r>
              <w:rPr>
                <w:rFonts w:ascii="Cambria Math" w:hAnsi="Cambria Math"/>
                <w:sz w:val="20"/>
                <w:szCs w:val="20"/>
                <w:lang w:val="en-ID"/>
              </w:rPr>
              <m:t>Precision×Recall</m:t>
            </m:r>
          </m:num>
          <m:den>
            <m:r>
              <w:rPr>
                <w:rFonts w:ascii="Cambria Math" w:hAnsi="Cambria Math"/>
                <w:sz w:val="20"/>
                <w:szCs w:val="20"/>
                <w:lang w:val="en-ID"/>
              </w:rPr>
              <m:t>Precision+Recall</m:t>
            </m:r>
          </m:den>
        </m:f>
      </m:oMath>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944585" w:rsidRPr="008359CA">
        <w:rPr>
          <w:rFonts w:ascii="Times New Roman" w:hAnsi="Times New Roman"/>
          <w:sz w:val="20"/>
          <w:szCs w:val="20"/>
          <w:lang w:val="en-ID"/>
        </w:rPr>
        <w:t xml:space="preserve"> </w:t>
      </w:r>
      <w:r w:rsidRPr="008359CA">
        <w:rPr>
          <w:rFonts w:ascii="Times New Roman" w:hAnsi="Times New Roman"/>
          <w:sz w:val="20"/>
          <w:szCs w:val="20"/>
          <w:lang w:val="en-ID"/>
        </w:rPr>
        <w:t>(5)</w:t>
      </w:r>
    </w:p>
    <w:p w14:paraId="77B0EDBB" w14:textId="6E5512CD" w:rsidR="00D419CF" w:rsidRPr="008359CA" w:rsidRDefault="00D419CF" w:rsidP="008359CA">
      <w:pPr>
        <w:jc w:val="both"/>
        <w:rPr>
          <w:lang w:val="en-ID"/>
        </w:rPr>
      </w:pPr>
      <w:r w:rsidRPr="00D833B0">
        <w:rPr>
          <w:lang w:val="en-ID"/>
        </w:rPr>
        <w:t>The following is an explanation of the ROC AUC evaluation matrix that evaluates the performance of the classification model along with an image depicting the ROC curve</w:t>
      </w:r>
      <w:r w:rsidR="008359CA">
        <w:rPr>
          <w:lang w:val="en-ID"/>
        </w:rPr>
        <w:t xml:space="preserve">. </w:t>
      </w:r>
      <w:r w:rsidRPr="008359CA">
        <w:rPr>
          <w:lang w:val="en-ID"/>
        </w:rPr>
        <w:t>True Positive Rate (TPR) and False Positive Rate (FPR)</w:t>
      </w:r>
      <w:r w:rsidR="008359CA">
        <w:rPr>
          <w:lang w:val="en-ID"/>
        </w:rPr>
        <w:t xml:space="preserve">. </w:t>
      </w:r>
      <w:r w:rsidRPr="008359CA">
        <w:rPr>
          <w:lang w:val="en-ID"/>
        </w:rPr>
        <w:t>TPR, also known as sensitivity, is the proportion of positive classes that are correctly predicted as positive by the model. It is calculated in equation (6):</w:t>
      </w:r>
    </w:p>
    <w:p w14:paraId="599D1D56" w14:textId="77777777" w:rsidR="00D419CF" w:rsidRPr="008359CA" w:rsidRDefault="00D419CF" w:rsidP="00D419CF">
      <w:pPr>
        <w:pStyle w:val="ListParagraph"/>
        <w:ind w:left="567"/>
        <w:rPr>
          <w:rFonts w:ascii="Times New Roman" w:hAnsi="Times New Roman"/>
          <w:sz w:val="20"/>
          <w:szCs w:val="20"/>
          <w:lang w:val="en-ID"/>
        </w:rPr>
      </w:pPr>
    </w:p>
    <w:p w14:paraId="45B4C8D9" w14:textId="363E4253" w:rsidR="00D419CF" w:rsidRPr="008359CA" w:rsidRDefault="00D419CF" w:rsidP="00944585">
      <w:pPr>
        <w:pStyle w:val="ListParagraph"/>
        <w:ind w:left="2880" w:firstLine="720"/>
        <w:rPr>
          <w:rFonts w:ascii="Times New Roman" w:hAnsi="Times New Roman"/>
          <w:sz w:val="20"/>
          <w:szCs w:val="20"/>
          <w:lang w:val="en-ID"/>
        </w:rPr>
      </w:pPr>
      <m:oMath>
        <m:r>
          <w:rPr>
            <w:rFonts w:ascii="Cambria Math" w:hAnsi="Cambria Math"/>
            <w:sz w:val="20"/>
            <w:szCs w:val="20"/>
            <w:lang w:val="en-ID"/>
          </w:rPr>
          <m:t>TPR=</m:t>
        </m:r>
        <m:f>
          <m:fPr>
            <m:ctrlPr>
              <w:rPr>
                <w:rFonts w:ascii="Cambria Math" w:hAnsi="Cambria Math"/>
                <w:i/>
                <w:sz w:val="20"/>
                <w:szCs w:val="20"/>
                <w:lang w:val="en-ID"/>
              </w:rPr>
            </m:ctrlPr>
          </m:fPr>
          <m:num>
            <m:r>
              <w:rPr>
                <w:rFonts w:ascii="Cambria Math" w:hAnsi="Cambria Math"/>
                <w:sz w:val="20"/>
                <w:szCs w:val="20"/>
                <w:lang w:val="en-ID"/>
              </w:rPr>
              <m:t>TP</m:t>
            </m:r>
          </m:num>
          <m:den>
            <m:r>
              <w:rPr>
                <w:rFonts w:ascii="Cambria Math" w:hAnsi="Cambria Math"/>
                <w:sz w:val="20"/>
                <w:szCs w:val="20"/>
                <w:lang w:val="en-ID"/>
              </w:rPr>
              <m:t>TP+FN</m:t>
            </m:r>
          </m:den>
        </m:f>
      </m:oMath>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Pr="008359CA">
        <w:rPr>
          <w:rFonts w:ascii="Times New Roman" w:hAnsi="Times New Roman"/>
          <w:sz w:val="20"/>
          <w:szCs w:val="20"/>
          <w:lang w:val="en-ID"/>
        </w:rPr>
        <w:t>(6)</w:t>
      </w:r>
    </w:p>
    <w:p w14:paraId="233FAE5D" w14:textId="36A24437" w:rsidR="00D419CF" w:rsidRPr="00717F8A" w:rsidRDefault="00D419CF" w:rsidP="00717F8A">
      <w:pPr>
        <w:jc w:val="both"/>
        <w:rPr>
          <w:lang w:val="en-ID"/>
        </w:rPr>
      </w:pPr>
      <w:r w:rsidRPr="008359CA">
        <w:rPr>
          <w:lang w:val="en-ID"/>
        </w:rPr>
        <w:t xml:space="preserve">FPR is the proportion of negative classes that are incorrectly predicted as positive by the model. It is calculated as in equation (7): </w:t>
      </w:r>
    </w:p>
    <w:p w14:paraId="6BB36244" w14:textId="65BCA5E8" w:rsidR="00D419CF" w:rsidRPr="00717F8A" w:rsidRDefault="00D419CF" w:rsidP="00717F8A">
      <w:pPr>
        <w:pStyle w:val="ListParagraph"/>
        <w:ind w:left="2880" w:firstLine="720"/>
        <w:rPr>
          <w:rFonts w:ascii="Times New Roman" w:hAnsi="Times New Roman"/>
          <w:sz w:val="20"/>
          <w:szCs w:val="20"/>
          <w:lang w:val="en-ID"/>
        </w:rPr>
      </w:pPr>
      <m:oMath>
        <m:r>
          <w:rPr>
            <w:rFonts w:ascii="Cambria Math" w:hAnsi="Cambria Math"/>
            <w:sz w:val="20"/>
            <w:szCs w:val="20"/>
            <w:lang w:val="en-ID"/>
          </w:rPr>
          <m:t>FPR=</m:t>
        </m:r>
        <m:f>
          <m:fPr>
            <m:ctrlPr>
              <w:rPr>
                <w:rFonts w:ascii="Cambria Math" w:hAnsi="Cambria Math"/>
                <w:i/>
                <w:sz w:val="20"/>
                <w:szCs w:val="20"/>
                <w:lang w:val="en-ID"/>
              </w:rPr>
            </m:ctrlPr>
          </m:fPr>
          <m:num>
            <m:r>
              <w:rPr>
                <w:rFonts w:ascii="Cambria Math" w:hAnsi="Cambria Math"/>
                <w:sz w:val="20"/>
                <w:szCs w:val="20"/>
                <w:lang w:val="en-ID"/>
              </w:rPr>
              <m:t>FP</m:t>
            </m:r>
          </m:num>
          <m:den>
            <m:r>
              <w:rPr>
                <w:rFonts w:ascii="Cambria Math" w:hAnsi="Cambria Math"/>
                <w:sz w:val="20"/>
                <w:szCs w:val="20"/>
                <w:lang w:val="en-ID"/>
              </w:rPr>
              <m:t>FP+TN</m:t>
            </m:r>
          </m:den>
        </m:f>
      </m:oMath>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8359CA">
        <w:rPr>
          <w:rFonts w:ascii="Times New Roman" w:hAnsi="Times New Roman"/>
          <w:sz w:val="20"/>
          <w:szCs w:val="20"/>
          <w:lang w:val="en-ID"/>
        </w:rPr>
        <w:tab/>
      </w:r>
      <w:r w:rsidR="00944585" w:rsidRPr="008359CA">
        <w:rPr>
          <w:rFonts w:ascii="Times New Roman" w:hAnsi="Times New Roman"/>
          <w:sz w:val="20"/>
          <w:szCs w:val="20"/>
          <w:lang w:val="en-ID"/>
        </w:rPr>
        <w:t xml:space="preserve"> </w:t>
      </w:r>
      <w:r w:rsidRPr="008359CA">
        <w:rPr>
          <w:rFonts w:ascii="Times New Roman" w:hAnsi="Times New Roman"/>
          <w:sz w:val="20"/>
          <w:szCs w:val="20"/>
          <w:lang w:val="en-ID"/>
        </w:rPr>
        <w:t>(7)</w:t>
      </w:r>
    </w:p>
    <w:p w14:paraId="086E9137" w14:textId="637BA1F3" w:rsidR="000F279B" w:rsidRPr="00BB7D60" w:rsidRDefault="00F33C08" w:rsidP="0033719B">
      <w:pPr>
        <w:numPr>
          <w:ilvl w:val="0"/>
          <w:numId w:val="15"/>
        </w:numPr>
        <w:tabs>
          <w:tab w:val="left" w:pos="426"/>
        </w:tabs>
        <w:ind w:left="426" w:hanging="426"/>
        <w:rPr>
          <w:b/>
          <w:bCs/>
          <w:lang w:val="id-ID"/>
        </w:rPr>
      </w:pPr>
      <w:r w:rsidRPr="003D5B84">
        <w:rPr>
          <w:b/>
          <w:bCs/>
          <w:lang w:val="id-ID"/>
        </w:rPr>
        <w:lastRenderedPageBreak/>
        <w:t xml:space="preserve">RESULTS </w:t>
      </w:r>
      <w:r w:rsidRPr="003D5B84">
        <w:rPr>
          <w:b/>
          <w:bCs/>
        </w:rPr>
        <w:t>A</w:t>
      </w:r>
      <w:r w:rsidRPr="003D5B84">
        <w:rPr>
          <w:b/>
          <w:bCs/>
          <w:lang w:val="id-ID"/>
        </w:rPr>
        <w:t>ND ANALYSIS</w:t>
      </w:r>
      <w:r>
        <w:rPr>
          <w:b/>
          <w:bCs/>
        </w:rPr>
        <w:t xml:space="preserve"> </w:t>
      </w:r>
    </w:p>
    <w:p w14:paraId="45FB6909" w14:textId="77777777" w:rsidR="00BB7D60" w:rsidRPr="00BB7D60" w:rsidRDefault="00BB7D60" w:rsidP="00BB7D60">
      <w:pPr>
        <w:pStyle w:val="ListParagraph"/>
        <w:numPr>
          <w:ilvl w:val="1"/>
          <w:numId w:val="21"/>
        </w:numPr>
        <w:tabs>
          <w:tab w:val="left" w:pos="426"/>
        </w:tabs>
        <w:spacing w:after="0"/>
        <w:ind w:left="0" w:firstLine="0"/>
        <w:rPr>
          <w:rFonts w:ascii="Times New Roman" w:hAnsi="Times New Roman"/>
          <w:b/>
          <w:bCs/>
          <w:sz w:val="20"/>
          <w:szCs w:val="20"/>
        </w:rPr>
      </w:pPr>
      <w:r w:rsidRPr="00BB7D60">
        <w:rPr>
          <w:rFonts w:ascii="Times New Roman" w:hAnsi="Times New Roman"/>
          <w:b/>
          <w:bCs/>
          <w:sz w:val="20"/>
          <w:szCs w:val="20"/>
        </w:rPr>
        <w:t>Materials</w:t>
      </w:r>
    </w:p>
    <w:p w14:paraId="65970665" w14:textId="72C9E5CF" w:rsidR="00BB7D60" w:rsidRPr="00BB7D60" w:rsidRDefault="00BB7D60" w:rsidP="00BB7D60">
      <w:pPr>
        <w:ind w:firstLine="720"/>
        <w:jc w:val="both"/>
        <w:rPr>
          <w:bCs/>
        </w:rPr>
      </w:pPr>
      <w:r w:rsidRPr="00BB7D60">
        <w:rPr>
          <w:bCs/>
        </w:rPr>
        <w:t xml:space="preserve">Conducting an extensive literature review to understand the latest research in mental health detection using machine learning. The questionnaire measurement method using a valid instrument approach is described as follows: </w:t>
      </w:r>
      <w:r w:rsidRPr="00BB7D60">
        <w:rPr>
          <w:lang w:val="en-ID"/>
        </w:rPr>
        <w:t xml:space="preserve">The Depression, Anxiety, and Stress Scale - DASS-21 aims to assess and distinguish symptoms of anxiety and depression, based on the Tripartite Model </w:t>
      </w:r>
      <w:r w:rsidR="00A65F0E">
        <w:rPr>
          <w:lang w:val="en-ID"/>
        </w:rPr>
        <w:fldChar w:fldCharType="begin" w:fldLock="1"/>
      </w:r>
      <w:r w:rsidR="00A65F0E">
        <w:rPr>
          <w:lang w:val="en-ID"/>
        </w:rPr>
        <w:instrText>ADDIN CSL_CITATION {"citationItems":[{"id":"ITEM-1","itemData":{"author":[{"dropping-particle":"","family":"Lovibond, S. H., &amp; Lovibond","given":"P. F.","non-dropping-particle":"","parse-names":false,"suffix":""}],"container-title":"Psychological Assessment","id":"ITEM-1","issued":{"date-parts":[["1995"]]},"title":"Depression anxiety stress scales","type":"article-journal"},"uris":["http://www.mendeley.com/documents/?uuid=2c7ea728-9efd-4614-81a6-65dac42d369a"]}],"mendeley":{"formattedCitation":"[15]","plainTextFormattedCitation":"[15]","previouslyFormattedCitation":"[15]"},"properties":{"noteIndex":0},"schema":"https://github.com/citation-style-language/schema/raw/master/csl-citation.json"}</w:instrText>
      </w:r>
      <w:r w:rsidR="00A65F0E">
        <w:rPr>
          <w:lang w:val="en-ID"/>
        </w:rPr>
        <w:fldChar w:fldCharType="separate"/>
      </w:r>
      <w:r w:rsidR="00A65F0E" w:rsidRPr="00A65F0E">
        <w:rPr>
          <w:noProof/>
          <w:lang w:val="en-ID"/>
        </w:rPr>
        <w:t>[15]</w:t>
      </w:r>
      <w:r w:rsidR="00A65F0E">
        <w:rPr>
          <w:lang w:val="en-ID"/>
        </w:rPr>
        <w:fldChar w:fldCharType="end"/>
      </w:r>
      <w:r w:rsidRPr="00BB7D60">
        <w:rPr>
          <w:lang w:val="en-ID"/>
        </w:rPr>
        <w:t>. It consists of 21 items, with participants responding using a 4-point Likert scale. Regarding psychometric studies, the DASS 21 has been tested and confirmed, with adequate levels of internal consistency found for each factor</w:t>
      </w:r>
      <w:r w:rsidR="00951FC6">
        <w:rPr>
          <w:lang w:val="en-ID"/>
        </w:rPr>
        <w:t xml:space="preserve"> </w:t>
      </w:r>
      <w:r w:rsidR="00951FC6">
        <w:rPr>
          <w:lang w:val="en-ID"/>
        </w:rPr>
        <w:fldChar w:fldCharType="begin" w:fldLock="1"/>
      </w:r>
      <w:r w:rsidR="00951FC6">
        <w:rPr>
          <w:lang w:val="en-ID"/>
        </w:rPr>
        <w:instrText>ADDIN CSL_CITATION {"citationItems":[{"id":"ITEM-1","itemData":{"author":[{"dropping-particle":"","family":"Lovibond, P. F., &amp; Lovibond","given":"S. H.","non-dropping-particle":"","parse-names":false,"suffix":""}],"container-title":"Behaviour Research and Therapy","id":"ITEM-1","issue":"3","issued":{"date-parts":[["1995"]]},"page":"335–343","title":"The structure of negative emotional states: Comparison of the Depression Anxiety Stress Scales (DASS) with the Beck Depression and Anxiety Inventories","type":"article-journal","volume":"33"},"uris":["http://www.mendeley.com/documents/?uuid=6aa1abfa-4cf7-4073-b1e5-701ebaa2298c"]}],"mendeley":{"formattedCitation":"[16]","plainTextFormattedCitation":"[16]","previouslyFormattedCitation":"[16]"},"properties":{"noteIndex":0},"schema":"https://github.com/citation-style-language/schema/raw/master/csl-citation.json"}</w:instrText>
      </w:r>
      <w:r w:rsidR="00951FC6">
        <w:rPr>
          <w:lang w:val="en-ID"/>
        </w:rPr>
        <w:fldChar w:fldCharType="separate"/>
      </w:r>
      <w:r w:rsidR="00951FC6" w:rsidRPr="00951FC6">
        <w:rPr>
          <w:noProof/>
          <w:lang w:val="en-ID"/>
        </w:rPr>
        <w:t>[16]</w:t>
      </w:r>
      <w:r w:rsidR="00951FC6">
        <w:rPr>
          <w:lang w:val="en-ID"/>
        </w:rPr>
        <w:fldChar w:fldCharType="end"/>
      </w:r>
      <w:r w:rsidRPr="00BB7D60">
        <w:rPr>
          <w:lang w:val="en-ID"/>
        </w:rPr>
        <w:t xml:space="preserve">. Psychological </w:t>
      </w:r>
      <w:proofErr w:type="spellStart"/>
      <w:r w:rsidRPr="00BB7D60">
        <w:rPr>
          <w:lang w:val="en-ID"/>
        </w:rPr>
        <w:t>Modeling</w:t>
      </w:r>
      <w:proofErr w:type="spellEnd"/>
      <w:r w:rsidRPr="00BB7D60">
        <w:rPr>
          <w:lang w:val="en-ID"/>
        </w:rPr>
        <w:t xml:space="preserve"> to detect anxiety levels.</w:t>
      </w:r>
      <w:r w:rsidR="00C2646B">
        <w:rPr>
          <w:lang w:val="en-ID"/>
        </w:rPr>
        <w:t xml:space="preserve"> </w:t>
      </w:r>
      <w:r w:rsidRPr="00BB7D60">
        <w:rPr>
          <w:lang w:val="en-ID"/>
        </w:rPr>
        <w:t>The Spielberger State-Trait Anxiety Inventory (STAI) is a 40-item self-report measure of anxiety using a 4-point Likert-type scale for each item</w:t>
      </w:r>
      <w:r w:rsidR="00951FC6">
        <w:rPr>
          <w:lang w:val="en-ID"/>
        </w:rPr>
        <w:t xml:space="preserve"> </w:t>
      </w:r>
      <w:r w:rsidR="00951FC6">
        <w:rPr>
          <w:lang w:val="en-ID"/>
        </w:rPr>
        <w:fldChar w:fldCharType="begin" w:fldLock="1"/>
      </w:r>
      <w:r w:rsidR="00951FC6">
        <w:rPr>
          <w:lang w:val="en-ID"/>
        </w:rPr>
        <w:instrText>ADDIN CSL_CITATION {"citationItems":[{"id":"ITEM-1","itemData":{"author":[{"dropping-particle":"","family":"Spielberger, C. D., Gonzalez-Reigosa, F., Martinez-Urrutia, A., Natalicio, L. F., &amp; Natalicio","given":"D. S.","non-dropping-particle":"","parse-names":false,"suffix":""}],"container-title":"Revista Interamericana de Psicologia/Interamerican journal of psychology,","id":"ITEM-1","issue":"3","issued":{"date-parts":[["1971"]]},"title":"The state-trait anxiety inventory","type":"article-journal","volume":"5"},"uris":["http://www.mendeley.com/documents/?uuid=a99db4d2-663b-4472-acdc-1798f6f56d73"]}],"mendeley":{"formattedCitation":"[17]","plainTextFormattedCitation":"[17]","previouslyFormattedCitation":"[17]"},"properties":{"noteIndex":0},"schema":"https://github.com/citation-style-language/schema/raw/master/csl-citation.json"}</w:instrText>
      </w:r>
      <w:r w:rsidR="00951FC6">
        <w:rPr>
          <w:lang w:val="en-ID"/>
        </w:rPr>
        <w:fldChar w:fldCharType="separate"/>
      </w:r>
      <w:r w:rsidR="00951FC6" w:rsidRPr="00951FC6">
        <w:rPr>
          <w:noProof/>
          <w:lang w:val="en-ID"/>
        </w:rPr>
        <w:t>[17]</w:t>
      </w:r>
      <w:r w:rsidR="00951FC6">
        <w:rPr>
          <w:lang w:val="en-ID"/>
        </w:rPr>
        <w:fldChar w:fldCharType="end"/>
      </w:r>
      <w:r w:rsidRPr="00BB7D60">
        <w:rPr>
          <w:lang w:val="en-ID"/>
        </w:rPr>
        <w:t>. The total score for each scale ranges from 20 to 80, with higher scores indicating more severe anxiety levels. The 4-point scale for T anxiety is: 1) almost never, 2) sometimes, 3) often, 4) almost always.</w:t>
      </w:r>
      <w:r>
        <w:rPr>
          <w:bCs/>
        </w:rPr>
        <w:t xml:space="preserve"> </w:t>
      </w:r>
      <w:r w:rsidRPr="00BB7D60">
        <w:rPr>
          <w:lang w:val="en-ID"/>
        </w:rPr>
        <w:t xml:space="preserve">Psychological </w:t>
      </w:r>
      <w:proofErr w:type="spellStart"/>
      <w:r w:rsidRPr="00BB7D60">
        <w:rPr>
          <w:lang w:val="en-ID"/>
        </w:rPr>
        <w:t>Modeling</w:t>
      </w:r>
      <w:proofErr w:type="spellEnd"/>
      <w:r w:rsidRPr="00BB7D60">
        <w:rPr>
          <w:lang w:val="en-ID"/>
        </w:rPr>
        <w:t xml:space="preserve"> to detect trauma levels through the Adverse Childhood Experiences (ACE) Model to evaluate negative experiences during childhood and their impact on physical and mental health in adulthood. The ACE questionnaire consists of 10 questions. The total score can range from 0 (no traumatic experiences) to 10 </w:t>
      </w:r>
      <w:r w:rsidR="00951FC6">
        <w:rPr>
          <w:lang w:val="en-ID"/>
        </w:rPr>
        <w:fldChar w:fldCharType="begin" w:fldLock="1"/>
      </w:r>
      <w:r w:rsidR="00951FC6">
        <w:rPr>
          <w:lang w:val="en-ID"/>
        </w:rPr>
        <w:instrText>ADDIN CSL_CITATION {"citationItems":[{"id":"ITEM-1","itemData":{"author":[{"dropping-particle":"","family":"Barnett, M. L., Sheldrick, R. C., Liu, S. R., Kia-Keating, M., &amp; Negriff","given":"S","non-dropping-particle":"","parse-names":false,"suffix":""}],"container-title":"American Psychologist","id":"ITEM-1","issue":"2","issued":{"date-parts":[["2021"]]},"page":"364","title":"Implications of adverse childhood experiences screening on behavioral health services: A scoping review and systems modeling analysis","type":"article-journal","volume":"76"},"uris":["http://www.mendeley.com/documents/?uuid=6dd2ef84-2f1a-4754-9565-7f936471c9de"]}],"mendeley":{"formattedCitation":"[18]","plainTextFormattedCitation":"[18]","previouslyFormattedCitation":"[18]"},"properties":{"noteIndex":0},"schema":"https://github.com/citation-style-language/schema/raw/master/csl-citation.json"}</w:instrText>
      </w:r>
      <w:r w:rsidR="00951FC6">
        <w:rPr>
          <w:lang w:val="en-ID"/>
        </w:rPr>
        <w:fldChar w:fldCharType="separate"/>
      </w:r>
      <w:r w:rsidR="00951FC6" w:rsidRPr="00951FC6">
        <w:rPr>
          <w:noProof/>
          <w:lang w:val="en-ID"/>
        </w:rPr>
        <w:t>[18]</w:t>
      </w:r>
      <w:r w:rsidR="00951FC6">
        <w:rPr>
          <w:lang w:val="en-ID"/>
        </w:rPr>
        <w:fldChar w:fldCharType="end"/>
      </w:r>
      <w:r w:rsidRPr="00BB7D60">
        <w:rPr>
          <w:lang w:val="en-ID"/>
        </w:rPr>
        <w:t>.</w:t>
      </w:r>
    </w:p>
    <w:p w14:paraId="6DDD4008" w14:textId="77777777" w:rsidR="00BB7D60" w:rsidRPr="00BB7D60" w:rsidRDefault="00BB7D60" w:rsidP="00BB7D60">
      <w:pPr>
        <w:pStyle w:val="ListParagraph"/>
        <w:numPr>
          <w:ilvl w:val="1"/>
          <w:numId w:val="21"/>
        </w:numPr>
        <w:tabs>
          <w:tab w:val="left" w:pos="426"/>
        </w:tabs>
        <w:spacing w:after="0"/>
        <w:ind w:left="0" w:firstLine="0"/>
        <w:rPr>
          <w:rFonts w:ascii="Times New Roman" w:hAnsi="Times New Roman"/>
          <w:b/>
          <w:bCs/>
          <w:sz w:val="20"/>
          <w:szCs w:val="20"/>
        </w:rPr>
      </w:pPr>
      <w:r w:rsidRPr="00BB7D60">
        <w:rPr>
          <w:rFonts w:ascii="Times New Roman" w:hAnsi="Times New Roman"/>
          <w:b/>
          <w:bCs/>
          <w:sz w:val="20"/>
          <w:szCs w:val="20"/>
        </w:rPr>
        <w:t>Participants</w:t>
      </w:r>
    </w:p>
    <w:p w14:paraId="5BEE6FF6" w14:textId="77777777" w:rsidR="00BB7D60" w:rsidRPr="009B1315" w:rsidRDefault="00BB7D60" w:rsidP="00BB7D60">
      <w:pPr>
        <w:ind w:firstLine="720"/>
        <w:jc w:val="both"/>
        <w:rPr>
          <w:lang w:val="en-ID"/>
        </w:rPr>
      </w:pPr>
      <w:r w:rsidRPr="009B1315">
        <w:rPr>
          <w:lang w:val="en-ID"/>
        </w:rPr>
        <w:t xml:space="preserve">In collecting data, the author faced a major challenge, namely limitations in obtaining valid personal data and </w:t>
      </w:r>
      <w:r w:rsidRPr="00BB7D60">
        <w:rPr>
          <w:bCs/>
        </w:rPr>
        <w:t>variations</w:t>
      </w:r>
      <w:r w:rsidRPr="009B1315">
        <w:rPr>
          <w:lang w:val="en-ID"/>
        </w:rPr>
        <w:t xml:space="preserve"> in the way individuals expressed or showed their symptoms. However, to overcome this problem, we conducted a direct survey of 5</w:t>
      </w:r>
      <w:r>
        <w:rPr>
          <w:lang w:val="en-ID"/>
        </w:rPr>
        <w:t>23</w:t>
      </w:r>
      <w:r w:rsidRPr="009B1315">
        <w:rPr>
          <w:lang w:val="en-ID"/>
        </w:rPr>
        <w:t xml:space="preserve"> young people aged 17-24. Each participant was then given three questionnaires to measure stress, anxiety, and trauma levels as tools to assess their symptoms. The collected data was structured in Excel format. </w:t>
      </w:r>
    </w:p>
    <w:p w14:paraId="654A1059" w14:textId="77777777" w:rsidR="00BB7D60" w:rsidRPr="00BB7D60" w:rsidRDefault="00BB7D60" w:rsidP="00BB7D60">
      <w:pPr>
        <w:pStyle w:val="ListParagraph"/>
        <w:numPr>
          <w:ilvl w:val="1"/>
          <w:numId w:val="21"/>
        </w:numPr>
        <w:tabs>
          <w:tab w:val="left" w:pos="426"/>
        </w:tabs>
        <w:spacing w:after="0"/>
        <w:ind w:left="0" w:firstLine="0"/>
        <w:rPr>
          <w:rFonts w:ascii="Times New Roman" w:hAnsi="Times New Roman"/>
          <w:b/>
          <w:bCs/>
          <w:sz w:val="20"/>
          <w:szCs w:val="20"/>
        </w:rPr>
      </w:pPr>
      <w:r w:rsidRPr="00BB7D60">
        <w:rPr>
          <w:rFonts w:ascii="Times New Roman" w:hAnsi="Times New Roman"/>
          <w:b/>
          <w:bCs/>
          <w:sz w:val="20"/>
          <w:szCs w:val="20"/>
        </w:rPr>
        <w:t>Methods</w:t>
      </w:r>
    </w:p>
    <w:p w14:paraId="65621A52" w14:textId="77777777" w:rsidR="00BB7D60" w:rsidRPr="00923784" w:rsidRDefault="00BB7D60" w:rsidP="00923784">
      <w:pPr>
        <w:pStyle w:val="ListParagraph"/>
        <w:widowControl w:val="0"/>
        <w:numPr>
          <w:ilvl w:val="2"/>
          <w:numId w:val="23"/>
        </w:numPr>
        <w:autoSpaceDE w:val="0"/>
        <w:autoSpaceDN w:val="0"/>
        <w:spacing w:after="57" w:line="240" w:lineRule="auto"/>
        <w:ind w:left="426" w:hanging="426"/>
        <w:jc w:val="both"/>
        <w:rPr>
          <w:rFonts w:ascii="Times New Roman" w:hAnsi="Times New Roman"/>
          <w:b/>
          <w:bCs/>
          <w:sz w:val="20"/>
          <w:szCs w:val="20"/>
        </w:rPr>
      </w:pPr>
      <w:r w:rsidRPr="00923784">
        <w:rPr>
          <w:rFonts w:ascii="Times New Roman" w:hAnsi="Times New Roman"/>
          <w:b/>
          <w:bCs/>
          <w:sz w:val="20"/>
          <w:szCs w:val="20"/>
        </w:rPr>
        <w:t>Data Collection</w:t>
      </w:r>
    </w:p>
    <w:p w14:paraId="7F989C85" w14:textId="77777777" w:rsidR="00BB7D60" w:rsidRPr="00923784" w:rsidRDefault="00BB7D60" w:rsidP="00923784">
      <w:pPr>
        <w:ind w:firstLine="720"/>
        <w:jc w:val="both"/>
        <w:rPr>
          <w:lang w:val="en-ID"/>
        </w:rPr>
      </w:pPr>
      <w:r w:rsidRPr="00923784">
        <w:rPr>
          <w:lang w:val="en-ID"/>
        </w:rPr>
        <w:t xml:space="preserve">This study adopted a quantitative computational approach to develop a supervised machine learning classification model for mental health detection. Data were collected through standardized online questionnaires distributed to a sample of 733 individuals aged 17–24. The participants were recruited via Google Forms and partnered psychological clinics, including Bunda Lucy Adolescent </w:t>
      </w:r>
      <w:proofErr w:type="spellStart"/>
      <w:r w:rsidRPr="00923784">
        <w:rPr>
          <w:lang w:val="en-ID"/>
        </w:rPr>
        <w:t>Counseling</w:t>
      </w:r>
      <w:proofErr w:type="spellEnd"/>
      <w:r w:rsidRPr="00923784">
        <w:rPr>
          <w:lang w:val="en-ID"/>
        </w:rPr>
        <w:t xml:space="preserve"> </w:t>
      </w:r>
      <w:proofErr w:type="spellStart"/>
      <w:r w:rsidRPr="00923784">
        <w:rPr>
          <w:lang w:val="en-ID"/>
        </w:rPr>
        <w:t>Center</w:t>
      </w:r>
      <w:proofErr w:type="spellEnd"/>
      <w:r w:rsidRPr="00923784">
        <w:rPr>
          <w:lang w:val="en-ID"/>
        </w:rPr>
        <w:t xml:space="preserve"> and the UICI </w:t>
      </w:r>
      <w:proofErr w:type="spellStart"/>
      <w:r w:rsidRPr="00923784">
        <w:rPr>
          <w:lang w:val="en-ID"/>
        </w:rPr>
        <w:t>Counseling</w:t>
      </w:r>
      <w:proofErr w:type="spellEnd"/>
      <w:r w:rsidRPr="00923784">
        <w:rPr>
          <w:lang w:val="en-ID"/>
        </w:rPr>
        <w:t xml:space="preserve"> </w:t>
      </w:r>
      <w:proofErr w:type="spellStart"/>
      <w:r w:rsidRPr="00923784">
        <w:rPr>
          <w:lang w:val="en-ID"/>
        </w:rPr>
        <w:t>Center</w:t>
      </w:r>
      <w:proofErr w:type="spellEnd"/>
      <w:r w:rsidRPr="00923784">
        <w:rPr>
          <w:lang w:val="en-ID"/>
        </w:rPr>
        <w:t xml:space="preserve">. Three validated psychological instruments were administered: the Depression Anxiety Stress Scale (DASS-21), State-Trait Anxiety Inventory (STAI), and Adverse Childhood Experiences (ACE) questionnaire. The dataset included 92 variables spanning psychological scores and demographic data such as age, gender, education, employment status, and province of residence. </w:t>
      </w:r>
    </w:p>
    <w:p w14:paraId="1CB98744" w14:textId="466A519E" w:rsidR="00BB7D60" w:rsidRPr="00923784" w:rsidRDefault="00BB7D60" w:rsidP="00923784">
      <w:pPr>
        <w:pStyle w:val="ListParagraph"/>
        <w:widowControl w:val="0"/>
        <w:numPr>
          <w:ilvl w:val="2"/>
          <w:numId w:val="23"/>
        </w:numPr>
        <w:autoSpaceDE w:val="0"/>
        <w:autoSpaceDN w:val="0"/>
        <w:spacing w:after="57" w:line="240" w:lineRule="auto"/>
        <w:ind w:left="426" w:hanging="426"/>
        <w:jc w:val="both"/>
        <w:rPr>
          <w:rFonts w:ascii="Times New Roman" w:hAnsi="Times New Roman"/>
          <w:b/>
          <w:bCs/>
          <w:sz w:val="20"/>
          <w:szCs w:val="20"/>
        </w:rPr>
      </w:pPr>
      <w:r w:rsidRPr="00923784">
        <w:rPr>
          <w:rFonts w:ascii="Times New Roman" w:hAnsi="Times New Roman"/>
          <w:b/>
          <w:bCs/>
          <w:sz w:val="20"/>
          <w:szCs w:val="20"/>
        </w:rPr>
        <w:t>Data Preparation</w:t>
      </w:r>
      <w:r w:rsidR="00923784" w:rsidRPr="00923784">
        <w:rPr>
          <w:rFonts w:ascii="Times New Roman" w:hAnsi="Times New Roman"/>
          <w:b/>
          <w:bCs/>
          <w:sz w:val="20"/>
          <w:szCs w:val="20"/>
        </w:rPr>
        <w:t xml:space="preserve"> (Understanding and Cleaning the Data)</w:t>
      </w:r>
    </w:p>
    <w:p w14:paraId="41F3571B" w14:textId="4171200F" w:rsidR="00923784" w:rsidRDefault="00BB7D60" w:rsidP="00923784">
      <w:pPr>
        <w:ind w:firstLine="720"/>
        <w:jc w:val="both"/>
        <w:rPr>
          <w:lang w:val="en-ID"/>
        </w:rPr>
      </w:pPr>
      <w:r w:rsidRPr="00923784">
        <w:rPr>
          <w:lang w:val="en-ID"/>
        </w:rPr>
        <w:t>Initial analysis revealed an imbalanced dataset: only 2 out of 523 respondents (0.38%) were identified as at-risk. To address this, additional data were collected to achieve a more balanced class distribution</w:t>
      </w:r>
      <w:r w:rsidR="00951FC6">
        <w:rPr>
          <w:lang w:val="en-ID"/>
        </w:rPr>
        <w:t xml:space="preserve"> </w:t>
      </w:r>
      <w:r w:rsidRPr="00923784">
        <w:rPr>
          <w:lang w:val="en-ID"/>
        </w:rPr>
        <w:t>resulting in 733 respondents, with 212 (29%) categorized as at-risk.</w:t>
      </w:r>
    </w:p>
    <w:p w14:paraId="2B4762DB" w14:textId="78507708" w:rsidR="00BB7D60" w:rsidRPr="00923784" w:rsidRDefault="00BB7D60" w:rsidP="00923784">
      <w:pPr>
        <w:ind w:firstLine="720"/>
        <w:jc w:val="both"/>
        <w:rPr>
          <w:lang w:val="en-ID"/>
        </w:rPr>
      </w:pPr>
      <w:r>
        <w:t>The dataset included mixed data types: float, integer, and categorical string variables. After removing irrelevant and duplicate columns, 58 features were retained. Missing values were handled using mean imputation for numeric variables. Variables with consistent values across a single class or high multicollinearity were reviewed for potential removal.</w:t>
      </w:r>
    </w:p>
    <w:p w14:paraId="6CA831EA" w14:textId="77777777" w:rsidR="00BB7D60" w:rsidRPr="00923784" w:rsidRDefault="00BB7D60" w:rsidP="00923784">
      <w:pPr>
        <w:pStyle w:val="ListParagraph"/>
        <w:widowControl w:val="0"/>
        <w:numPr>
          <w:ilvl w:val="2"/>
          <w:numId w:val="23"/>
        </w:numPr>
        <w:autoSpaceDE w:val="0"/>
        <w:autoSpaceDN w:val="0"/>
        <w:spacing w:after="57" w:line="240" w:lineRule="auto"/>
        <w:ind w:left="426" w:hanging="426"/>
        <w:jc w:val="both"/>
        <w:rPr>
          <w:rFonts w:ascii="Times New Roman" w:hAnsi="Times New Roman"/>
          <w:b/>
          <w:bCs/>
          <w:sz w:val="20"/>
          <w:szCs w:val="20"/>
        </w:rPr>
      </w:pPr>
      <w:r w:rsidRPr="00923784">
        <w:rPr>
          <w:rFonts w:ascii="Times New Roman" w:hAnsi="Times New Roman"/>
          <w:b/>
          <w:bCs/>
          <w:sz w:val="20"/>
          <w:szCs w:val="20"/>
        </w:rPr>
        <w:t>Data Transformation</w:t>
      </w:r>
    </w:p>
    <w:p w14:paraId="0B8FCD5B" w14:textId="77777777" w:rsidR="00BB7D60" w:rsidRPr="001320F0" w:rsidRDefault="00BB7D60" w:rsidP="00923784">
      <w:pPr>
        <w:ind w:firstLine="720"/>
        <w:jc w:val="both"/>
      </w:pPr>
      <w:r>
        <w:t>Categorical variables (e.g., gender, occupation, residence type) were transformed using one-hot encoding. Employment status was encoded into four categories: Unemployed (0), Employed (1), Student (2), and University Student (3). Gender was encoded as Male (0) and Female (1), and residence was categorized as Living Alone (0), With Friends (1), or With Family (2).</w:t>
      </w:r>
    </w:p>
    <w:p w14:paraId="26C5CC8A" w14:textId="0A818027" w:rsidR="00BB7D60" w:rsidRPr="00923784" w:rsidRDefault="00BB7D60" w:rsidP="00923784">
      <w:pPr>
        <w:pStyle w:val="ListParagraph"/>
        <w:widowControl w:val="0"/>
        <w:numPr>
          <w:ilvl w:val="2"/>
          <w:numId w:val="23"/>
        </w:numPr>
        <w:autoSpaceDE w:val="0"/>
        <w:autoSpaceDN w:val="0"/>
        <w:spacing w:after="57" w:line="240" w:lineRule="auto"/>
        <w:ind w:left="426" w:hanging="426"/>
        <w:jc w:val="both"/>
        <w:rPr>
          <w:rFonts w:ascii="Times New Roman" w:hAnsi="Times New Roman"/>
          <w:b/>
          <w:bCs/>
          <w:sz w:val="20"/>
          <w:szCs w:val="20"/>
        </w:rPr>
      </w:pPr>
      <w:r w:rsidRPr="00923784">
        <w:rPr>
          <w:rFonts w:ascii="Times New Roman" w:hAnsi="Times New Roman"/>
          <w:b/>
          <w:bCs/>
          <w:sz w:val="20"/>
          <w:szCs w:val="20"/>
        </w:rPr>
        <w:t>Data Visualization</w:t>
      </w:r>
      <w:r w:rsidR="00923784" w:rsidRPr="00923784">
        <w:rPr>
          <w:rFonts w:ascii="Times New Roman" w:hAnsi="Times New Roman"/>
          <w:b/>
          <w:bCs/>
          <w:sz w:val="20"/>
          <w:szCs w:val="20"/>
        </w:rPr>
        <w:t xml:space="preserve"> (Bar Chart Analysis)</w:t>
      </w:r>
    </w:p>
    <w:p w14:paraId="695AB3BF" w14:textId="77777777" w:rsidR="00923784" w:rsidRDefault="00BB7D60" w:rsidP="00923784">
      <w:pPr>
        <w:jc w:val="both"/>
      </w:pPr>
      <w:r>
        <w:rPr>
          <w:rStyle w:val="Strong"/>
        </w:rPr>
        <w:t>Gender</w:t>
      </w:r>
      <w:r w:rsidR="00923784">
        <w:rPr>
          <w:rStyle w:val="Strong"/>
        </w:rPr>
        <w:t xml:space="preserve"> </w:t>
      </w:r>
      <w:r>
        <w:rPr>
          <w:rStyle w:val="Strong"/>
        </w:rPr>
        <w:t>Distribution</w:t>
      </w:r>
    </w:p>
    <w:p w14:paraId="1A9318D1" w14:textId="4C260355" w:rsidR="00BB7D60" w:rsidRDefault="00BB7D60" w:rsidP="00923784">
      <w:pPr>
        <w:ind w:firstLine="720"/>
        <w:jc w:val="both"/>
      </w:pPr>
      <w:r w:rsidRPr="00923784">
        <w:t>As shown in the first chart, female respondents had a higher total count (n=465) compared to males (n=268). Among females, 117 individuals (25.2%) were categorized as at risk, while 95 males (35.4%) were identified as at risk. This suggests a relatively higher proportion of mental health risk among male respondents despite a smaller total number.</w:t>
      </w:r>
    </w:p>
    <w:p w14:paraId="5699A900" w14:textId="77777777" w:rsidR="00923784" w:rsidRDefault="00BB7D60" w:rsidP="00923784">
      <w:pPr>
        <w:jc w:val="both"/>
      </w:pPr>
      <w:r w:rsidRPr="00923784">
        <w:rPr>
          <w:rStyle w:val="Strong"/>
        </w:rPr>
        <w:t>Occupation Distribution</w:t>
      </w:r>
    </w:p>
    <w:p w14:paraId="182BC92B" w14:textId="71800055" w:rsidR="00BB7D60" w:rsidRDefault="00BB7D60" w:rsidP="00923784">
      <w:pPr>
        <w:ind w:firstLine="720"/>
        <w:jc w:val="both"/>
      </w:pPr>
      <w:r>
        <w:t>The second chart highlights a significant difference among occupation groups</w:t>
      </w:r>
      <w:r w:rsidRPr="00AA06A2">
        <w:t xml:space="preserve">. </w:t>
      </w:r>
      <w:r w:rsidRPr="00AA06A2">
        <w:rPr>
          <w:rStyle w:val="Strong"/>
          <w:b w:val="0"/>
          <w:bCs w:val="0"/>
        </w:rPr>
        <w:t>Employed individuals</w:t>
      </w:r>
      <w:r w:rsidRPr="00AA06A2">
        <w:t xml:space="preserve"> exhibited the highest proportion of at-risk respondents (186 out of 255; ~73%), indicating substantial mental health vulnerability in this group. In contrast, </w:t>
      </w:r>
      <w:r w:rsidRPr="00AA06A2">
        <w:rPr>
          <w:rStyle w:val="Strong"/>
          <w:b w:val="0"/>
          <w:bCs w:val="0"/>
        </w:rPr>
        <w:t>high school students</w:t>
      </w:r>
      <w:r w:rsidRPr="00AA06A2">
        <w:t xml:space="preserve"> had almost no representation in the at-risk category, suggesting potential resilience or underreporting among this subgroup</w:t>
      </w:r>
      <w:r>
        <w:t>.</w:t>
      </w:r>
    </w:p>
    <w:p w14:paraId="7EA0A0D5" w14:textId="77777777" w:rsidR="00923784" w:rsidRDefault="00BB7D60" w:rsidP="00923784">
      <w:pPr>
        <w:jc w:val="both"/>
      </w:pPr>
      <w:r>
        <w:rPr>
          <w:rStyle w:val="Strong"/>
        </w:rPr>
        <w:t>Major Category Distribu</w:t>
      </w:r>
      <w:r w:rsidRPr="00923784">
        <w:rPr>
          <w:rStyle w:val="Strong"/>
        </w:rPr>
        <w:t>tion</w:t>
      </w:r>
    </w:p>
    <w:p w14:paraId="62D135C9" w14:textId="73B194A6" w:rsidR="00BB7D60" w:rsidRDefault="00BB7D60" w:rsidP="00923784">
      <w:pPr>
        <w:ind w:firstLine="720"/>
        <w:jc w:val="both"/>
      </w:pPr>
      <w:r>
        <w:t xml:space="preserve">The third chart compares technical and non-technical majors. Respondents </w:t>
      </w:r>
      <w:r w:rsidRPr="00717F8A">
        <w:t>from</w:t>
      </w:r>
      <w:r w:rsidRPr="00717F8A">
        <w:rPr>
          <w:b/>
          <w:bCs/>
        </w:rPr>
        <w:t xml:space="preserve"> </w:t>
      </w:r>
      <w:r w:rsidRPr="00717F8A">
        <w:rPr>
          <w:rStyle w:val="Strong"/>
          <w:b w:val="0"/>
          <w:bCs w:val="0"/>
        </w:rPr>
        <w:t>non-technical majors</w:t>
      </w:r>
      <w:r>
        <w:t xml:space="preserve"> dominate the dataset (459 not at-risk, 157 at-risk), but the </w:t>
      </w:r>
      <w:r w:rsidRPr="00717F8A">
        <w:rPr>
          <w:rStyle w:val="Strong"/>
          <w:b w:val="0"/>
          <w:bCs w:val="0"/>
        </w:rPr>
        <w:t>technical group</w:t>
      </w:r>
      <w:r>
        <w:t xml:space="preserve"> showed a relatively high </w:t>
      </w:r>
      <w:r>
        <w:lastRenderedPageBreak/>
        <w:t>risk ratio, with 55 out of 117 (47%) classified as at risk. This implies mental health concerns are prevalent across academic disciplines, but more proportionally distributed among technical majors.</w:t>
      </w:r>
    </w:p>
    <w:p w14:paraId="434F80E2" w14:textId="77777777" w:rsidR="00A74EFE" w:rsidRDefault="00BB7D60" w:rsidP="00923784">
      <w:pPr>
        <w:jc w:val="both"/>
      </w:pPr>
      <w:r>
        <w:rPr>
          <w:rStyle w:val="Strong"/>
        </w:rPr>
        <w:t>Current Residence Distribution</w:t>
      </w:r>
    </w:p>
    <w:p w14:paraId="0F093E95" w14:textId="5BCC2FB8" w:rsidR="00BB7D60" w:rsidRDefault="00BB7D60" w:rsidP="00A74EFE">
      <w:pPr>
        <w:ind w:firstLine="720"/>
        <w:jc w:val="both"/>
      </w:pPr>
      <w:r>
        <w:t xml:space="preserve">In the fourth chart, those </w:t>
      </w:r>
      <w:r w:rsidRPr="00717F8A">
        <w:rPr>
          <w:rStyle w:val="Strong"/>
          <w:b w:val="0"/>
          <w:bCs w:val="0"/>
        </w:rPr>
        <w:t>living alone</w:t>
      </w:r>
      <w:r w:rsidRPr="00717F8A">
        <w:t xml:space="preserve"> (59 out of 97; ~60.8%) and </w:t>
      </w:r>
      <w:r w:rsidRPr="00717F8A">
        <w:rPr>
          <w:rStyle w:val="Strong"/>
          <w:b w:val="0"/>
          <w:bCs w:val="0"/>
        </w:rPr>
        <w:t>sharing a room with a friend</w:t>
      </w:r>
      <w:r w:rsidRPr="00717F8A">
        <w:t xml:space="preserve"> (almost equally distributed between classes) showed higher vulnerability compared to those </w:t>
      </w:r>
      <w:r w:rsidRPr="00717F8A">
        <w:rPr>
          <w:rStyle w:val="Strong"/>
          <w:b w:val="0"/>
          <w:bCs w:val="0"/>
        </w:rPr>
        <w:t>living with family</w:t>
      </w:r>
      <w:r w:rsidRPr="00717F8A">
        <w:t>, where the majority (465) were not</w:t>
      </w:r>
      <w:r>
        <w:t xml:space="preserve"> at risk. This trend underscores the potential protective effect of familial support on mental well-being.</w:t>
      </w:r>
    </w:p>
    <w:p w14:paraId="4E712FA5" w14:textId="77777777" w:rsidR="00A74EFE" w:rsidRDefault="00BB7D60" w:rsidP="00A74EFE">
      <w:pPr>
        <w:jc w:val="both"/>
      </w:pPr>
      <w:r>
        <w:rPr>
          <w:rStyle w:val="Strong"/>
        </w:rPr>
        <w:t>Province Distribution</w:t>
      </w:r>
    </w:p>
    <w:p w14:paraId="70B29672" w14:textId="3224F253" w:rsidR="00BB7D60" w:rsidRDefault="00BB7D60" w:rsidP="00A74EFE">
      <w:pPr>
        <w:ind w:firstLine="720"/>
        <w:jc w:val="both"/>
      </w:pPr>
      <w:r>
        <w:t xml:space="preserve">The final chart shows mental health risk across three provinces. </w:t>
      </w:r>
      <w:r w:rsidRPr="00717F8A">
        <w:rPr>
          <w:rStyle w:val="Strong"/>
          <w:b w:val="0"/>
          <w:bCs w:val="0"/>
        </w:rPr>
        <w:t>Central Java</w:t>
      </w:r>
      <w:r>
        <w:t xml:space="preserve"> had the highest total number of respondents (395), with 98 (24.8%) at risk. </w:t>
      </w:r>
      <w:r w:rsidRPr="00717F8A">
        <w:rPr>
          <w:rStyle w:val="Strong"/>
          <w:b w:val="0"/>
          <w:bCs w:val="0"/>
        </w:rPr>
        <w:t>West Java</w:t>
      </w:r>
      <w:r>
        <w:t>, despite a smaller sample, exhibited the highest at-risk ratio (61 out of 146; ~41.8%), highlighting potential regional variation in mental health dynamics.</w:t>
      </w:r>
    </w:p>
    <w:p w14:paraId="0E4275B9" w14:textId="2C24EB15" w:rsidR="00BB7D60" w:rsidRDefault="002013E0" w:rsidP="00BB7D60">
      <w:pPr>
        <w:pStyle w:val="ListParagraph"/>
        <w:rPr>
          <w:noProof/>
        </w:rPr>
      </w:pPr>
      <w:r>
        <w:rPr>
          <w:noProof/>
        </w:rPr>
        <w:drawing>
          <wp:inline distT="0" distB="0" distL="0" distR="0" wp14:anchorId="0F0C4F67" wp14:editId="60A4EC5B">
            <wp:extent cx="2508250" cy="1314450"/>
            <wp:effectExtent l="0" t="0" r="0" b="0"/>
            <wp:docPr id="978079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79182" name="Picture 9780791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424" cy="1334455"/>
                    </a:xfrm>
                    <a:prstGeom prst="rect">
                      <a:avLst/>
                    </a:prstGeom>
                  </pic:spPr>
                </pic:pic>
              </a:graphicData>
            </a:graphic>
          </wp:inline>
        </w:drawing>
      </w:r>
      <w:r>
        <w:rPr>
          <w:noProof/>
        </w:rPr>
        <w:drawing>
          <wp:inline distT="0" distB="0" distL="0" distR="0" wp14:anchorId="6E4755A1" wp14:editId="378411A0">
            <wp:extent cx="2419350" cy="1332865"/>
            <wp:effectExtent l="0" t="0" r="0" b="0"/>
            <wp:docPr id="1557316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16321" name="Picture 15573163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4595" cy="1346773"/>
                    </a:xfrm>
                    <a:prstGeom prst="rect">
                      <a:avLst/>
                    </a:prstGeom>
                  </pic:spPr>
                </pic:pic>
              </a:graphicData>
            </a:graphic>
          </wp:inline>
        </w:drawing>
      </w:r>
      <w:r>
        <w:rPr>
          <w:noProof/>
        </w:rPr>
        <w:drawing>
          <wp:inline distT="0" distB="0" distL="0" distR="0" wp14:anchorId="6CFA3F35" wp14:editId="305AC7E6">
            <wp:extent cx="2567815" cy="1243584"/>
            <wp:effectExtent l="0" t="0" r="0" b="0"/>
            <wp:docPr id="609957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57287" name="Picture 6099572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135" cy="1260689"/>
                    </a:xfrm>
                    <a:prstGeom prst="rect">
                      <a:avLst/>
                    </a:prstGeom>
                  </pic:spPr>
                </pic:pic>
              </a:graphicData>
            </a:graphic>
          </wp:inline>
        </w:drawing>
      </w:r>
      <w:r>
        <w:rPr>
          <w:noProof/>
        </w:rPr>
        <w:drawing>
          <wp:inline distT="0" distB="0" distL="0" distR="0" wp14:anchorId="15CC6814" wp14:editId="4F05E624">
            <wp:extent cx="2432304" cy="1300607"/>
            <wp:effectExtent l="0" t="0" r="0" b="0"/>
            <wp:docPr id="5915856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85621" name="Picture 5915856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2352" cy="1316674"/>
                    </a:xfrm>
                    <a:prstGeom prst="rect">
                      <a:avLst/>
                    </a:prstGeom>
                  </pic:spPr>
                </pic:pic>
              </a:graphicData>
            </a:graphic>
          </wp:inline>
        </w:drawing>
      </w:r>
      <w:r>
        <w:rPr>
          <w:noProof/>
        </w:rPr>
        <w:drawing>
          <wp:inline distT="0" distB="0" distL="0" distR="0" wp14:anchorId="52701161" wp14:editId="4885C5E6">
            <wp:extent cx="2530052" cy="1225296"/>
            <wp:effectExtent l="0" t="0" r="0" b="0"/>
            <wp:docPr id="10818267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26758" name="Picture 108182675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3171" cy="1236492"/>
                    </a:xfrm>
                    <a:prstGeom prst="rect">
                      <a:avLst/>
                    </a:prstGeom>
                  </pic:spPr>
                </pic:pic>
              </a:graphicData>
            </a:graphic>
          </wp:inline>
        </w:drawing>
      </w:r>
      <w:r>
        <w:rPr>
          <w:noProof/>
        </w:rPr>
        <w:drawing>
          <wp:inline distT="0" distB="0" distL="0" distR="0" wp14:anchorId="1F5B581A" wp14:editId="15BE81C9">
            <wp:extent cx="2459736" cy="1191242"/>
            <wp:effectExtent l="0" t="0" r="0" b="0"/>
            <wp:docPr id="2883121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12116" name="Picture 28831211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1853" cy="1197110"/>
                    </a:xfrm>
                    <a:prstGeom prst="rect">
                      <a:avLst/>
                    </a:prstGeom>
                  </pic:spPr>
                </pic:pic>
              </a:graphicData>
            </a:graphic>
          </wp:inline>
        </w:drawing>
      </w:r>
      <w:r w:rsidRPr="002013E0">
        <w:rPr>
          <w:noProof/>
        </w:rPr>
        <w:t xml:space="preserve"> </w:t>
      </w:r>
    </w:p>
    <w:p w14:paraId="71BCC4C5" w14:textId="1491F199" w:rsidR="002C6C57" w:rsidRDefault="002013E0" w:rsidP="003C3B3F">
      <w:pPr>
        <w:pStyle w:val="ListParagraph"/>
      </w:pPr>
      <w:r w:rsidRPr="002013E0">
        <w:rPr>
          <w:noProof/>
        </w:rPr>
        <w:t xml:space="preserve"> </w:t>
      </w:r>
    </w:p>
    <w:p w14:paraId="029A7EF0" w14:textId="3E74B3BF" w:rsidR="00A74EFE" w:rsidRPr="002C6C57" w:rsidRDefault="002C6C57" w:rsidP="002C6C57">
      <w:pPr>
        <w:pStyle w:val="ListParagraph"/>
        <w:widowControl w:val="0"/>
        <w:numPr>
          <w:ilvl w:val="1"/>
          <w:numId w:val="0"/>
        </w:numPr>
        <w:autoSpaceDE w:val="0"/>
        <w:autoSpaceDN w:val="0"/>
        <w:spacing w:after="57" w:line="240" w:lineRule="auto"/>
        <w:ind w:left="360" w:hanging="360"/>
        <w:jc w:val="center"/>
        <w:rPr>
          <w:rFonts w:ascii="Times New Roman" w:hAnsi="Times New Roman"/>
          <w:sz w:val="20"/>
          <w:szCs w:val="20"/>
        </w:rPr>
      </w:pPr>
      <w:r w:rsidRPr="002C6C57">
        <w:rPr>
          <w:rFonts w:ascii="Times New Roman" w:hAnsi="Times New Roman"/>
          <w:sz w:val="20"/>
          <w:szCs w:val="20"/>
        </w:rPr>
        <w:t xml:space="preserve">Figure </w:t>
      </w:r>
      <w:r>
        <w:rPr>
          <w:rFonts w:ascii="Times New Roman" w:hAnsi="Times New Roman"/>
          <w:sz w:val="20"/>
          <w:szCs w:val="20"/>
        </w:rPr>
        <w:t>3</w:t>
      </w:r>
      <w:r w:rsidRPr="002C6C57">
        <w:rPr>
          <w:rFonts w:ascii="Times New Roman" w:hAnsi="Times New Roman"/>
          <w:sz w:val="20"/>
          <w:szCs w:val="20"/>
        </w:rPr>
        <w:t>. Data Distribution</w:t>
      </w:r>
    </w:p>
    <w:p w14:paraId="6C15DE09" w14:textId="77777777" w:rsidR="002C6C57" w:rsidRDefault="002C6C57" w:rsidP="002C6C57">
      <w:pPr>
        <w:pStyle w:val="ListParagraph"/>
        <w:widowControl w:val="0"/>
        <w:numPr>
          <w:ilvl w:val="1"/>
          <w:numId w:val="0"/>
        </w:numPr>
        <w:autoSpaceDE w:val="0"/>
        <w:autoSpaceDN w:val="0"/>
        <w:spacing w:after="57" w:line="240" w:lineRule="auto"/>
        <w:ind w:left="360" w:hanging="360"/>
        <w:jc w:val="both"/>
      </w:pPr>
    </w:p>
    <w:p w14:paraId="551F8115" w14:textId="319F5C20" w:rsidR="00BB7D60" w:rsidRPr="00A74EFE" w:rsidRDefault="00BB7D60" w:rsidP="00A74EFE">
      <w:pPr>
        <w:pStyle w:val="ListParagraph"/>
        <w:numPr>
          <w:ilvl w:val="1"/>
          <w:numId w:val="21"/>
        </w:numPr>
        <w:tabs>
          <w:tab w:val="left" w:pos="426"/>
        </w:tabs>
        <w:spacing w:after="0"/>
        <w:ind w:left="0" w:firstLine="0"/>
        <w:rPr>
          <w:rFonts w:ascii="Times New Roman" w:hAnsi="Times New Roman"/>
          <w:b/>
          <w:bCs/>
          <w:sz w:val="20"/>
          <w:szCs w:val="20"/>
        </w:rPr>
      </w:pPr>
      <w:r w:rsidRPr="00A74EFE">
        <w:rPr>
          <w:rFonts w:ascii="Times New Roman" w:hAnsi="Times New Roman"/>
          <w:b/>
          <w:bCs/>
          <w:sz w:val="20"/>
          <w:szCs w:val="20"/>
        </w:rPr>
        <w:t xml:space="preserve">Machine Learning Model </w:t>
      </w:r>
      <w:r w:rsidR="00E4044E">
        <w:rPr>
          <w:rFonts w:ascii="Times New Roman" w:hAnsi="Times New Roman"/>
          <w:b/>
          <w:bCs/>
          <w:sz w:val="20"/>
          <w:szCs w:val="20"/>
        </w:rPr>
        <w:t>Building</w:t>
      </w:r>
    </w:p>
    <w:p w14:paraId="34A7D5CD" w14:textId="77777777" w:rsidR="00BB7D60" w:rsidRPr="00A74EFE" w:rsidRDefault="00BB7D60" w:rsidP="00C2646B">
      <w:pPr>
        <w:pStyle w:val="ListParagraph"/>
        <w:widowControl w:val="0"/>
        <w:numPr>
          <w:ilvl w:val="0"/>
          <w:numId w:val="29"/>
        </w:numPr>
        <w:tabs>
          <w:tab w:val="left" w:pos="567"/>
        </w:tabs>
        <w:autoSpaceDE w:val="0"/>
        <w:autoSpaceDN w:val="0"/>
        <w:spacing w:after="57" w:line="240" w:lineRule="auto"/>
        <w:jc w:val="both"/>
        <w:rPr>
          <w:rFonts w:ascii="Times New Roman" w:hAnsi="Times New Roman"/>
          <w:b/>
          <w:bCs/>
          <w:sz w:val="20"/>
          <w:szCs w:val="20"/>
        </w:rPr>
      </w:pPr>
      <w:proofErr w:type="spellStart"/>
      <w:r w:rsidRPr="00A74EFE">
        <w:rPr>
          <w:rFonts w:ascii="Times New Roman" w:hAnsi="Times New Roman"/>
          <w:b/>
          <w:bCs/>
          <w:sz w:val="20"/>
          <w:szCs w:val="20"/>
        </w:rPr>
        <w:t>Modeling</w:t>
      </w:r>
      <w:proofErr w:type="spellEnd"/>
      <w:r w:rsidRPr="00A74EFE">
        <w:rPr>
          <w:rFonts w:ascii="Times New Roman" w:hAnsi="Times New Roman"/>
          <w:b/>
          <w:bCs/>
          <w:sz w:val="20"/>
          <w:szCs w:val="20"/>
        </w:rPr>
        <w:t xml:space="preserve"> Approach</w:t>
      </w:r>
    </w:p>
    <w:p w14:paraId="25C1E4C7" w14:textId="77777777" w:rsidR="00BB7D60" w:rsidRPr="00A74EFE" w:rsidRDefault="00BB7D60" w:rsidP="00A74EFE">
      <w:pPr>
        <w:ind w:firstLine="720"/>
        <w:jc w:val="both"/>
      </w:pPr>
      <w:r w:rsidRPr="00A74EFE">
        <w:t xml:space="preserve">To address the classification task of identifying mental health risk, three supervised machine learning algorithms were utilized: </w:t>
      </w:r>
      <w:r w:rsidRPr="002C6C57">
        <w:t>Logistic Regression, Support Vector Machine (SVM),</w:t>
      </w:r>
      <w:r w:rsidRPr="00A74EFE">
        <w:t xml:space="preserve"> and </w:t>
      </w:r>
      <w:r w:rsidRPr="002C6C57">
        <w:t>Random Forest</w:t>
      </w:r>
      <w:r w:rsidRPr="00A74EFE">
        <w:t xml:space="preserve">. These models were selected based on their proven robustness and interpretability in psychological and behavioral classification tasks. Given the highly imbalanced nature of the dataset, the </w:t>
      </w:r>
      <w:r w:rsidRPr="002C6C57">
        <w:t>Synthetic Minority Oversampling Technique (SMOTE)</w:t>
      </w:r>
      <w:r w:rsidRPr="00A74EFE">
        <w:t xml:space="preserve"> was applied to augment the minority class and prevent model bias. Additionally, class weighting was employed as a complementary strategy. This mechanism assigns greater weight to the minority (at-risk) class, so that misclassifications in this class are penalized more heavily than those in the majority class.</w:t>
      </w:r>
    </w:p>
    <w:p w14:paraId="1A726ED4" w14:textId="3B076636" w:rsidR="00BB7D60" w:rsidRPr="001F1756" w:rsidRDefault="00BB7D60" w:rsidP="00C2646B">
      <w:pPr>
        <w:pStyle w:val="ListParagraph"/>
        <w:widowControl w:val="0"/>
        <w:numPr>
          <w:ilvl w:val="0"/>
          <w:numId w:val="29"/>
        </w:numPr>
        <w:tabs>
          <w:tab w:val="left" w:pos="567"/>
        </w:tabs>
        <w:autoSpaceDE w:val="0"/>
        <w:autoSpaceDN w:val="0"/>
        <w:spacing w:after="57" w:line="240" w:lineRule="auto"/>
        <w:jc w:val="both"/>
        <w:rPr>
          <w:rFonts w:ascii="Times New Roman" w:hAnsi="Times New Roman"/>
          <w:b/>
          <w:bCs/>
          <w:sz w:val="20"/>
          <w:szCs w:val="20"/>
          <w:lang w:val="en-ID"/>
        </w:rPr>
      </w:pPr>
      <w:r w:rsidRPr="001F1756">
        <w:rPr>
          <w:rFonts w:ascii="Times New Roman" w:hAnsi="Times New Roman"/>
          <w:b/>
          <w:bCs/>
          <w:sz w:val="20"/>
          <w:szCs w:val="20"/>
        </w:rPr>
        <w:t>Building Model</w:t>
      </w:r>
    </w:p>
    <w:p w14:paraId="331267E6" w14:textId="77777777" w:rsidR="00BB7D60" w:rsidRPr="001F1756" w:rsidRDefault="00BB7D60" w:rsidP="001F1756">
      <w:pPr>
        <w:jc w:val="both"/>
      </w:pPr>
      <w:r w:rsidRPr="001F1756">
        <w:t>The model works is as follows.</w:t>
      </w:r>
    </w:p>
    <w:p w14:paraId="6428B4D3" w14:textId="77777777" w:rsidR="00BB7D60" w:rsidRPr="001F1756" w:rsidRDefault="00BB7D60" w:rsidP="001F1756">
      <w:pPr>
        <w:jc w:val="both"/>
      </w:pPr>
      <w:r w:rsidRPr="001F1756">
        <w:t>Step 1 : Prepare the feature matrix X dan target Y. Use data that is free from leakage.</w:t>
      </w:r>
    </w:p>
    <w:p w14:paraId="08ADED6E" w14:textId="77777777" w:rsidR="00BB7D60" w:rsidRPr="001F1756" w:rsidRDefault="00BB7D60" w:rsidP="001F1756">
      <w:pPr>
        <w:jc w:val="both"/>
      </w:pPr>
      <w:r w:rsidRPr="001F1756">
        <w:t>Step 2 : Split the dataset becoming 70% for training and 30% for testing.</w:t>
      </w:r>
    </w:p>
    <w:p w14:paraId="137A4238" w14:textId="77777777" w:rsidR="00BB7D60" w:rsidRPr="001F1756" w:rsidRDefault="00BB7D60" w:rsidP="001F1756">
      <w:pPr>
        <w:jc w:val="both"/>
      </w:pPr>
      <w:r w:rsidRPr="001F1756">
        <w:t>Step 3 : Perform cross-validation on the training set.</w:t>
      </w:r>
    </w:p>
    <w:p w14:paraId="544B2D18" w14:textId="77777777" w:rsidR="00BB7D60" w:rsidRPr="001F1756" w:rsidRDefault="00BB7D60" w:rsidP="001F1756">
      <w:pPr>
        <w:jc w:val="both"/>
      </w:pPr>
      <w:r w:rsidRPr="001F1756">
        <w:t>Step 4 : Impute missing values, apply scaling, and use SMOTE because the data are imbalanced.</w:t>
      </w:r>
    </w:p>
    <w:p w14:paraId="630DC7E2" w14:textId="77777777" w:rsidR="00BB7D60" w:rsidRDefault="00BB7D60" w:rsidP="00717F8A">
      <w:pPr>
        <w:jc w:val="both"/>
        <w:rPr>
          <w:lang w:val="en-ID"/>
        </w:rPr>
      </w:pPr>
      <w:r>
        <w:rPr>
          <w:lang w:val="en-ID"/>
        </w:rPr>
        <w:lastRenderedPageBreak/>
        <w:t xml:space="preserve">Step 5 : Perform hyperparameter tuning with </w:t>
      </w:r>
      <w:proofErr w:type="spellStart"/>
      <w:r>
        <w:rPr>
          <w:lang w:val="en-ID"/>
        </w:rPr>
        <w:t>GridSearchCV</w:t>
      </w:r>
      <w:proofErr w:type="spellEnd"/>
      <w:r>
        <w:rPr>
          <w:lang w:val="en-ID"/>
        </w:rPr>
        <w:t xml:space="preserve"> and set </w:t>
      </w:r>
      <w:proofErr w:type="spellStart"/>
      <w:r>
        <w:rPr>
          <w:lang w:val="en-ID"/>
        </w:rPr>
        <w:t>class_weight</w:t>
      </w:r>
      <w:proofErr w:type="spellEnd"/>
      <w:r>
        <w:rPr>
          <w:lang w:val="en-ID"/>
        </w:rPr>
        <w:t xml:space="preserve"> = “balanced” to handle class imbalance. The parameters are searched over the following ranges. After tuning, the best model uses a regularization value C = 0.0008 </w:t>
      </w:r>
    </w:p>
    <w:p w14:paraId="1963DF08" w14:textId="276FEC15" w:rsidR="00E4044E" w:rsidRDefault="00BB7D60" w:rsidP="00BB7D60">
      <w:pPr>
        <w:rPr>
          <w:lang w:val="en-ID"/>
        </w:rPr>
      </w:pPr>
      <w:r>
        <w:rPr>
          <w:lang w:val="en-ID"/>
        </w:rPr>
        <w:t xml:space="preserve">Step 6 : Train the model by fitting </w:t>
      </w:r>
      <w:proofErr w:type="spellStart"/>
      <w:r>
        <w:rPr>
          <w:lang w:val="en-ID"/>
        </w:rPr>
        <w:t>Xtrain</w:t>
      </w:r>
      <w:proofErr w:type="spellEnd"/>
      <w:r>
        <w:rPr>
          <w:lang w:val="en-ID"/>
        </w:rPr>
        <w:t xml:space="preserve">, </w:t>
      </w:r>
      <w:proofErr w:type="spellStart"/>
      <w:r>
        <w:rPr>
          <w:lang w:val="en-ID"/>
        </w:rPr>
        <w:t>Ytrain</w:t>
      </w:r>
      <w:proofErr w:type="spellEnd"/>
      <w:r>
        <w:rPr>
          <w:lang w:val="en-ID"/>
        </w:rPr>
        <w:t xml:space="preserve"> using the best parameters</w:t>
      </w:r>
      <w:r w:rsidR="00E4044E">
        <w:rPr>
          <w:lang w:val="en-ID"/>
        </w:rPr>
        <w:t>.</w:t>
      </w:r>
    </w:p>
    <w:p w14:paraId="780508E1" w14:textId="77777777" w:rsidR="00E4044E" w:rsidRDefault="00E4044E" w:rsidP="00BB7D60">
      <w:pPr>
        <w:rPr>
          <w:lang w:val="en-ID"/>
        </w:rPr>
      </w:pPr>
    </w:p>
    <w:p w14:paraId="20F631BB" w14:textId="77777777" w:rsidR="001F1756" w:rsidRPr="00C2646B" w:rsidRDefault="00BB7D60" w:rsidP="00C2646B">
      <w:pPr>
        <w:pStyle w:val="ListParagraph"/>
        <w:widowControl w:val="0"/>
        <w:numPr>
          <w:ilvl w:val="0"/>
          <w:numId w:val="29"/>
        </w:numPr>
        <w:tabs>
          <w:tab w:val="left" w:pos="567"/>
        </w:tabs>
        <w:autoSpaceDE w:val="0"/>
        <w:autoSpaceDN w:val="0"/>
        <w:spacing w:after="57" w:line="240" w:lineRule="auto"/>
        <w:jc w:val="both"/>
        <w:rPr>
          <w:rFonts w:ascii="Times New Roman" w:hAnsi="Times New Roman"/>
          <w:b/>
          <w:bCs/>
          <w:sz w:val="20"/>
          <w:szCs w:val="20"/>
          <w:lang w:val="en-ID"/>
        </w:rPr>
      </w:pPr>
      <w:r w:rsidRPr="00C2646B">
        <w:rPr>
          <w:rFonts w:ascii="Times New Roman" w:hAnsi="Times New Roman"/>
          <w:b/>
          <w:bCs/>
          <w:sz w:val="20"/>
          <w:szCs w:val="20"/>
        </w:rPr>
        <w:t>Model</w:t>
      </w:r>
      <w:r w:rsidRPr="00C2646B">
        <w:rPr>
          <w:rFonts w:ascii="Times New Roman" w:hAnsi="Times New Roman"/>
          <w:b/>
          <w:bCs/>
          <w:sz w:val="20"/>
          <w:szCs w:val="20"/>
          <w:lang w:val="en-ID"/>
        </w:rPr>
        <w:t xml:space="preserve"> Results </w:t>
      </w:r>
    </w:p>
    <w:p w14:paraId="14E4CB50" w14:textId="292B46BA" w:rsidR="001F1756" w:rsidRPr="00AA06A2" w:rsidRDefault="00C2646B" w:rsidP="00717F8A">
      <w:pPr>
        <w:pStyle w:val="ListParagraph"/>
        <w:widowControl w:val="0"/>
        <w:autoSpaceDE w:val="0"/>
        <w:autoSpaceDN w:val="0"/>
        <w:spacing w:after="57" w:line="240" w:lineRule="auto"/>
        <w:ind w:left="567"/>
        <w:jc w:val="center"/>
        <w:rPr>
          <w:rFonts w:ascii="Times New Roman" w:hAnsi="Times New Roman"/>
          <w:sz w:val="20"/>
          <w:szCs w:val="20"/>
          <w:lang w:val="en-ID"/>
        </w:rPr>
      </w:pPr>
      <w:r w:rsidRPr="00717F8A">
        <w:rPr>
          <w:rFonts w:ascii="Times New Roman" w:hAnsi="Times New Roman"/>
          <w:b/>
          <w:bCs/>
          <w:sz w:val="20"/>
          <w:szCs w:val="20"/>
          <w:lang w:val="en-ID"/>
        </w:rPr>
        <w:t>Table 1.</w:t>
      </w:r>
      <w:r>
        <w:rPr>
          <w:rFonts w:ascii="Times New Roman" w:hAnsi="Times New Roman"/>
          <w:sz w:val="20"/>
          <w:szCs w:val="20"/>
          <w:lang w:val="en-ID"/>
        </w:rPr>
        <w:t xml:space="preserve"> </w:t>
      </w:r>
      <w:r w:rsidR="00AA06A2" w:rsidRPr="00AA06A2">
        <w:rPr>
          <w:rFonts w:ascii="Times New Roman" w:hAnsi="Times New Roman"/>
          <w:sz w:val="20"/>
          <w:szCs w:val="20"/>
          <w:lang w:val="en-ID"/>
        </w:rPr>
        <w:t>Comparation of Model Results</w:t>
      </w:r>
    </w:p>
    <w:tbl>
      <w:tblPr>
        <w:tblStyle w:val="TableGrid"/>
        <w:tblW w:w="8432" w:type="dxa"/>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997"/>
        <w:gridCol w:w="1021"/>
        <w:gridCol w:w="997"/>
        <w:gridCol w:w="1006"/>
        <w:gridCol w:w="1030"/>
        <w:gridCol w:w="1006"/>
        <w:gridCol w:w="1270"/>
      </w:tblGrid>
      <w:tr w:rsidR="00AA06A2" w:rsidRPr="00AA06A2" w14:paraId="3D62BCEB" w14:textId="77777777" w:rsidTr="00AA06A2">
        <w:tc>
          <w:tcPr>
            <w:tcW w:w="560" w:type="dxa"/>
            <w:tcBorders>
              <w:top w:val="single" w:sz="4" w:space="0" w:color="auto"/>
              <w:bottom w:val="single" w:sz="4" w:space="0" w:color="auto"/>
            </w:tcBorders>
          </w:tcPr>
          <w:p w14:paraId="0EA64444" w14:textId="77777777" w:rsidR="00AA06A2" w:rsidRPr="00AA06A2" w:rsidRDefault="00AA06A2" w:rsidP="00AA06A2">
            <w:pPr>
              <w:tabs>
                <w:tab w:val="left" w:pos="993"/>
              </w:tabs>
              <w:jc w:val="center"/>
            </w:pPr>
            <w:r w:rsidRPr="00AA06A2">
              <w:t>Model</w:t>
            </w:r>
          </w:p>
        </w:tc>
        <w:tc>
          <w:tcPr>
            <w:tcW w:w="1080" w:type="dxa"/>
            <w:tcBorders>
              <w:top w:val="single" w:sz="4" w:space="0" w:color="auto"/>
              <w:bottom w:val="single" w:sz="4" w:space="0" w:color="auto"/>
            </w:tcBorders>
          </w:tcPr>
          <w:p w14:paraId="1B959BC7" w14:textId="77777777" w:rsidR="00AA06A2" w:rsidRPr="00AA06A2" w:rsidRDefault="00AA06A2" w:rsidP="00AA06A2">
            <w:pPr>
              <w:tabs>
                <w:tab w:val="left" w:pos="993"/>
              </w:tabs>
              <w:jc w:val="center"/>
            </w:pPr>
            <w:proofErr w:type="spellStart"/>
            <w:r w:rsidRPr="00AA06A2">
              <w:t>Akurasi</w:t>
            </w:r>
            <w:proofErr w:type="spellEnd"/>
          </w:p>
        </w:tc>
        <w:tc>
          <w:tcPr>
            <w:tcW w:w="1086" w:type="dxa"/>
            <w:tcBorders>
              <w:top w:val="single" w:sz="4" w:space="0" w:color="auto"/>
              <w:bottom w:val="single" w:sz="4" w:space="0" w:color="auto"/>
            </w:tcBorders>
          </w:tcPr>
          <w:p w14:paraId="5585E82D" w14:textId="77777777" w:rsidR="00AA06A2" w:rsidRPr="00AA06A2" w:rsidRDefault="00AA06A2" w:rsidP="00AA06A2">
            <w:pPr>
              <w:tabs>
                <w:tab w:val="left" w:pos="993"/>
              </w:tabs>
              <w:jc w:val="center"/>
            </w:pPr>
            <w:r w:rsidRPr="00AA06A2">
              <w:t xml:space="preserve">Training </w:t>
            </w:r>
            <w:proofErr w:type="spellStart"/>
            <w:r w:rsidRPr="00AA06A2">
              <w:t>Akurasi</w:t>
            </w:r>
            <w:proofErr w:type="spellEnd"/>
          </w:p>
        </w:tc>
        <w:tc>
          <w:tcPr>
            <w:tcW w:w="1080" w:type="dxa"/>
            <w:tcBorders>
              <w:top w:val="single" w:sz="4" w:space="0" w:color="auto"/>
              <w:bottom w:val="single" w:sz="4" w:space="0" w:color="auto"/>
            </w:tcBorders>
          </w:tcPr>
          <w:p w14:paraId="0D28D9BF" w14:textId="77777777" w:rsidR="00AA06A2" w:rsidRPr="00AA06A2" w:rsidRDefault="00AA06A2" w:rsidP="00AA06A2">
            <w:pPr>
              <w:tabs>
                <w:tab w:val="left" w:pos="993"/>
              </w:tabs>
              <w:jc w:val="center"/>
            </w:pPr>
            <w:proofErr w:type="spellStart"/>
            <w:r w:rsidRPr="00AA06A2">
              <w:t>Tes</w:t>
            </w:r>
            <w:proofErr w:type="spellEnd"/>
            <w:r w:rsidRPr="00AA06A2">
              <w:t xml:space="preserve"> </w:t>
            </w:r>
            <w:proofErr w:type="spellStart"/>
            <w:r w:rsidRPr="00AA06A2">
              <w:t>Akurasi</w:t>
            </w:r>
            <w:proofErr w:type="spellEnd"/>
          </w:p>
        </w:tc>
        <w:tc>
          <w:tcPr>
            <w:tcW w:w="1094" w:type="dxa"/>
            <w:tcBorders>
              <w:top w:val="single" w:sz="4" w:space="0" w:color="auto"/>
              <w:bottom w:val="single" w:sz="4" w:space="0" w:color="auto"/>
            </w:tcBorders>
          </w:tcPr>
          <w:p w14:paraId="73362E3B" w14:textId="77777777" w:rsidR="00AA06A2" w:rsidRPr="00AA06A2" w:rsidRDefault="00AA06A2" w:rsidP="00AA06A2">
            <w:pPr>
              <w:tabs>
                <w:tab w:val="left" w:pos="993"/>
              </w:tabs>
              <w:jc w:val="center"/>
            </w:pPr>
            <w:proofErr w:type="spellStart"/>
            <w:r w:rsidRPr="00AA06A2">
              <w:t>Akurasi</w:t>
            </w:r>
            <w:proofErr w:type="spellEnd"/>
          </w:p>
        </w:tc>
        <w:tc>
          <w:tcPr>
            <w:tcW w:w="1101" w:type="dxa"/>
            <w:tcBorders>
              <w:top w:val="single" w:sz="4" w:space="0" w:color="auto"/>
              <w:bottom w:val="single" w:sz="4" w:space="0" w:color="auto"/>
            </w:tcBorders>
          </w:tcPr>
          <w:p w14:paraId="00986FF8" w14:textId="77777777" w:rsidR="00AA06A2" w:rsidRPr="00AA06A2" w:rsidRDefault="00AA06A2" w:rsidP="00AA06A2">
            <w:pPr>
              <w:tabs>
                <w:tab w:val="left" w:pos="993"/>
              </w:tabs>
              <w:jc w:val="center"/>
            </w:pPr>
            <w:r w:rsidRPr="00AA06A2">
              <w:t xml:space="preserve">Training </w:t>
            </w:r>
            <w:proofErr w:type="spellStart"/>
            <w:r w:rsidRPr="00AA06A2">
              <w:t>Akurasi</w:t>
            </w:r>
            <w:proofErr w:type="spellEnd"/>
          </w:p>
        </w:tc>
        <w:tc>
          <w:tcPr>
            <w:tcW w:w="1094" w:type="dxa"/>
            <w:tcBorders>
              <w:top w:val="single" w:sz="4" w:space="0" w:color="auto"/>
              <w:bottom w:val="single" w:sz="4" w:space="0" w:color="auto"/>
            </w:tcBorders>
          </w:tcPr>
          <w:p w14:paraId="730C2B2C" w14:textId="77777777" w:rsidR="00AA06A2" w:rsidRPr="00AA06A2" w:rsidRDefault="00AA06A2" w:rsidP="00AA06A2">
            <w:pPr>
              <w:tabs>
                <w:tab w:val="left" w:pos="993"/>
              </w:tabs>
              <w:jc w:val="center"/>
            </w:pPr>
            <w:proofErr w:type="spellStart"/>
            <w:r w:rsidRPr="00AA06A2">
              <w:t>Tes</w:t>
            </w:r>
            <w:proofErr w:type="spellEnd"/>
            <w:r w:rsidRPr="00AA06A2">
              <w:t xml:space="preserve"> </w:t>
            </w:r>
            <w:proofErr w:type="spellStart"/>
            <w:r w:rsidRPr="00AA06A2">
              <w:t>Akurasi</w:t>
            </w:r>
            <w:proofErr w:type="spellEnd"/>
          </w:p>
        </w:tc>
        <w:tc>
          <w:tcPr>
            <w:tcW w:w="1337" w:type="dxa"/>
            <w:tcBorders>
              <w:top w:val="single" w:sz="4" w:space="0" w:color="auto"/>
              <w:bottom w:val="single" w:sz="4" w:space="0" w:color="auto"/>
            </w:tcBorders>
          </w:tcPr>
          <w:p w14:paraId="34E12C06" w14:textId="77777777" w:rsidR="00AA06A2" w:rsidRPr="00AA06A2" w:rsidRDefault="00AA06A2" w:rsidP="00AA06A2">
            <w:pPr>
              <w:tabs>
                <w:tab w:val="left" w:pos="993"/>
              </w:tabs>
              <w:jc w:val="center"/>
            </w:pPr>
            <w:r w:rsidRPr="00AA06A2">
              <w:t>ROC_AUC</w:t>
            </w:r>
          </w:p>
        </w:tc>
      </w:tr>
      <w:tr w:rsidR="00AA06A2" w:rsidRPr="00AA06A2" w14:paraId="2A3BB0D3" w14:textId="77777777" w:rsidTr="00AA06A2">
        <w:tc>
          <w:tcPr>
            <w:tcW w:w="560" w:type="dxa"/>
            <w:tcBorders>
              <w:top w:val="single" w:sz="4" w:space="0" w:color="auto"/>
            </w:tcBorders>
          </w:tcPr>
          <w:p w14:paraId="0FF65BF1" w14:textId="77777777" w:rsidR="00AA06A2" w:rsidRPr="00AA06A2" w:rsidRDefault="00AA06A2" w:rsidP="00AA06A2">
            <w:pPr>
              <w:tabs>
                <w:tab w:val="left" w:pos="993"/>
              </w:tabs>
              <w:jc w:val="center"/>
            </w:pPr>
            <w:r w:rsidRPr="00AA06A2">
              <w:t>Logistic Regression</w:t>
            </w:r>
          </w:p>
        </w:tc>
        <w:tc>
          <w:tcPr>
            <w:tcW w:w="1080" w:type="dxa"/>
            <w:tcBorders>
              <w:top w:val="single" w:sz="4" w:space="0" w:color="auto"/>
            </w:tcBorders>
          </w:tcPr>
          <w:p w14:paraId="7931D47C" w14:textId="77777777" w:rsidR="00AA06A2" w:rsidRPr="00AA06A2" w:rsidRDefault="00AA06A2" w:rsidP="00AA06A2">
            <w:pPr>
              <w:tabs>
                <w:tab w:val="left" w:pos="993"/>
              </w:tabs>
            </w:pPr>
            <w:r w:rsidRPr="00AA06A2">
              <w:t>0.936</w:t>
            </w:r>
          </w:p>
        </w:tc>
        <w:tc>
          <w:tcPr>
            <w:tcW w:w="1086" w:type="dxa"/>
            <w:tcBorders>
              <w:top w:val="single" w:sz="4" w:space="0" w:color="auto"/>
            </w:tcBorders>
          </w:tcPr>
          <w:p w14:paraId="07B19222" w14:textId="77777777" w:rsidR="00AA06A2" w:rsidRPr="00AA06A2" w:rsidRDefault="00AA06A2" w:rsidP="00AA06A2">
            <w:pPr>
              <w:tabs>
                <w:tab w:val="left" w:pos="993"/>
              </w:tabs>
            </w:pPr>
            <w:r w:rsidRPr="00AA06A2">
              <w:t>0.954</w:t>
            </w:r>
          </w:p>
        </w:tc>
        <w:tc>
          <w:tcPr>
            <w:tcW w:w="1080" w:type="dxa"/>
            <w:tcBorders>
              <w:top w:val="single" w:sz="4" w:space="0" w:color="auto"/>
            </w:tcBorders>
          </w:tcPr>
          <w:p w14:paraId="423FEA35" w14:textId="77777777" w:rsidR="00AA06A2" w:rsidRPr="00AA06A2" w:rsidRDefault="00AA06A2" w:rsidP="00AA06A2">
            <w:pPr>
              <w:tabs>
                <w:tab w:val="left" w:pos="993"/>
              </w:tabs>
            </w:pPr>
            <w:r w:rsidRPr="00AA06A2">
              <w:t>0.936</w:t>
            </w:r>
          </w:p>
        </w:tc>
        <w:tc>
          <w:tcPr>
            <w:tcW w:w="1094" w:type="dxa"/>
            <w:tcBorders>
              <w:top w:val="single" w:sz="4" w:space="0" w:color="auto"/>
            </w:tcBorders>
          </w:tcPr>
          <w:p w14:paraId="2908D483" w14:textId="77777777" w:rsidR="00AA06A2" w:rsidRPr="00AA06A2" w:rsidRDefault="00AA06A2" w:rsidP="00AA06A2">
            <w:pPr>
              <w:tabs>
                <w:tab w:val="left" w:pos="993"/>
              </w:tabs>
            </w:pPr>
            <w:r w:rsidRPr="00AA06A2">
              <w:t>0.936</w:t>
            </w:r>
          </w:p>
        </w:tc>
        <w:tc>
          <w:tcPr>
            <w:tcW w:w="1101" w:type="dxa"/>
            <w:tcBorders>
              <w:top w:val="single" w:sz="4" w:space="0" w:color="auto"/>
            </w:tcBorders>
          </w:tcPr>
          <w:p w14:paraId="52CD7696" w14:textId="77777777" w:rsidR="00AA06A2" w:rsidRPr="00AA06A2" w:rsidRDefault="00AA06A2" w:rsidP="00AA06A2">
            <w:pPr>
              <w:tabs>
                <w:tab w:val="left" w:pos="993"/>
              </w:tabs>
            </w:pPr>
            <w:r w:rsidRPr="00AA06A2">
              <w:t>0.954</w:t>
            </w:r>
          </w:p>
        </w:tc>
        <w:tc>
          <w:tcPr>
            <w:tcW w:w="1094" w:type="dxa"/>
            <w:tcBorders>
              <w:top w:val="single" w:sz="4" w:space="0" w:color="auto"/>
            </w:tcBorders>
          </w:tcPr>
          <w:p w14:paraId="2F4B3FE5" w14:textId="77777777" w:rsidR="00AA06A2" w:rsidRPr="00AA06A2" w:rsidRDefault="00AA06A2" w:rsidP="00AA06A2">
            <w:pPr>
              <w:tabs>
                <w:tab w:val="left" w:pos="993"/>
              </w:tabs>
            </w:pPr>
            <w:r w:rsidRPr="00AA06A2">
              <w:t>0.936</w:t>
            </w:r>
          </w:p>
        </w:tc>
        <w:tc>
          <w:tcPr>
            <w:tcW w:w="1337" w:type="dxa"/>
            <w:tcBorders>
              <w:top w:val="single" w:sz="4" w:space="0" w:color="auto"/>
            </w:tcBorders>
          </w:tcPr>
          <w:p w14:paraId="74DF0124" w14:textId="77777777" w:rsidR="00AA06A2" w:rsidRPr="00AA06A2" w:rsidRDefault="00AA06A2" w:rsidP="00AA06A2">
            <w:pPr>
              <w:tabs>
                <w:tab w:val="left" w:pos="993"/>
              </w:tabs>
            </w:pPr>
            <w:r w:rsidRPr="00AA06A2">
              <w:t>0.995</w:t>
            </w:r>
          </w:p>
        </w:tc>
      </w:tr>
      <w:tr w:rsidR="00AA06A2" w:rsidRPr="00AA06A2" w14:paraId="6D6BA2A8" w14:textId="77777777" w:rsidTr="00AA06A2">
        <w:tc>
          <w:tcPr>
            <w:tcW w:w="560" w:type="dxa"/>
          </w:tcPr>
          <w:p w14:paraId="4EFB541C" w14:textId="77777777" w:rsidR="00AA06A2" w:rsidRPr="00AA06A2" w:rsidRDefault="00AA06A2" w:rsidP="00AA06A2">
            <w:pPr>
              <w:tabs>
                <w:tab w:val="left" w:pos="993"/>
              </w:tabs>
              <w:jc w:val="center"/>
            </w:pPr>
            <w:r w:rsidRPr="00AA06A2">
              <w:t>SVM</w:t>
            </w:r>
          </w:p>
        </w:tc>
        <w:tc>
          <w:tcPr>
            <w:tcW w:w="1080" w:type="dxa"/>
          </w:tcPr>
          <w:p w14:paraId="1AD69EA0" w14:textId="77777777" w:rsidR="00AA06A2" w:rsidRPr="00AA06A2" w:rsidRDefault="00AA06A2" w:rsidP="00AA06A2">
            <w:pPr>
              <w:tabs>
                <w:tab w:val="left" w:pos="993"/>
              </w:tabs>
            </w:pPr>
            <w:r w:rsidRPr="00AA06A2">
              <w:t>0.936</w:t>
            </w:r>
          </w:p>
        </w:tc>
        <w:tc>
          <w:tcPr>
            <w:tcW w:w="1086" w:type="dxa"/>
          </w:tcPr>
          <w:p w14:paraId="36901B8B" w14:textId="77777777" w:rsidR="00AA06A2" w:rsidRPr="00AA06A2" w:rsidRDefault="00AA06A2" w:rsidP="00AA06A2">
            <w:pPr>
              <w:tabs>
                <w:tab w:val="left" w:pos="993"/>
              </w:tabs>
            </w:pPr>
            <w:r w:rsidRPr="00AA06A2">
              <w:t>0.970</w:t>
            </w:r>
          </w:p>
        </w:tc>
        <w:tc>
          <w:tcPr>
            <w:tcW w:w="1080" w:type="dxa"/>
          </w:tcPr>
          <w:p w14:paraId="517D7EE8" w14:textId="77777777" w:rsidR="00AA06A2" w:rsidRPr="00AA06A2" w:rsidRDefault="00AA06A2" w:rsidP="00AA06A2">
            <w:pPr>
              <w:tabs>
                <w:tab w:val="left" w:pos="993"/>
              </w:tabs>
            </w:pPr>
            <w:r w:rsidRPr="00AA06A2">
              <w:t>0.936</w:t>
            </w:r>
          </w:p>
        </w:tc>
        <w:tc>
          <w:tcPr>
            <w:tcW w:w="1094" w:type="dxa"/>
          </w:tcPr>
          <w:p w14:paraId="567A7B32" w14:textId="77777777" w:rsidR="00AA06A2" w:rsidRPr="00AA06A2" w:rsidRDefault="00AA06A2" w:rsidP="00AA06A2">
            <w:pPr>
              <w:tabs>
                <w:tab w:val="left" w:pos="993"/>
              </w:tabs>
            </w:pPr>
            <w:r w:rsidRPr="00AA06A2">
              <w:t>0.936</w:t>
            </w:r>
          </w:p>
        </w:tc>
        <w:tc>
          <w:tcPr>
            <w:tcW w:w="1101" w:type="dxa"/>
          </w:tcPr>
          <w:p w14:paraId="33D5231A" w14:textId="77777777" w:rsidR="00AA06A2" w:rsidRPr="00AA06A2" w:rsidRDefault="00AA06A2" w:rsidP="00AA06A2">
            <w:pPr>
              <w:tabs>
                <w:tab w:val="left" w:pos="993"/>
              </w:tabs>
            </w:pPr>
            <w:r w:rsidRPr="00AA06A2">
              <w:t>0.970</w:t>
            </w:r>
          </w:p>
        </w:tc>
        <w:tc>
          <w:tcPr>
            <w:tcW w:w="1094" w:type="dxa"/>
          </w:tcPr>
          <w:p w14:paraId="12B0728A" w14:textId="77777777" w:rsidR="00AA06A2" w:rsidRPr="00AA06A2" w:rsidRDefault="00AA06A2" w:rsidP="00AA06A2">
            <w:pPr>
              <w:tabs>
                <w:tab w:val="left" w:pos="993"/>
              </w:tabs>
            </w:pPr>
            <w:r w:rsidRPr="00AA06A2">
              <w:t>0.936</w:t>
            </w:r>
          </w:p>
        </w:tc>
        <w:tc>
          <w:tcPr>
            <w:tcW w:w="1337" w:type="dxa"/>
          </w:tcPr>
          <w:p w14:paraId="1626E6A9" w14:textId="77777777" w:rsidR="00AA06A2" w:rsidRPr="00AA06A2" w:rsidRDefault="00AA06A2" w:rsidP="00AA06A2">
            <w:pPr>
              <w:tabs>
                <w:tab w:val="left" w:pos="993"/>
              </w:tabs>
            </w:pPr>
            <w:r w:rsidRPr="00AA06A2">
              <w:t>0.994</w:t>
            </w:r>
          </w:p>
        </w:tc>
      </w:tr>
      <w:tr w:rsidR="00AA06A2" w:rsidRPr="00AA06A2" w14:paraId="0BF9BEE3" w14:textId="77777777" w:rsidTr="00AA06A2">
        <w:trPr>
          <w:trHeight w:val="277"/>
        </w:trPr>
        <w:tc>
          <w:tcPr>
            <w:tcW w:w="560" w:type="dxa"/>
          </w:tcPr>
          <w:p w14:paraId="554BE8E3" w14:textId="77777777" w:rsidR="00AA06A2" w:rsidRPr="00AA06A2" w:rsidRDefault="00AA06A2" w:rsidP="00AA06A2">
            <w:pPr>
              <w:tabs>
                <w:tab w:val="left" w:pos="993"/>
              </w:tabs>
              <w:jc w:val="center"/>
            </w:pPr>
            <w:r w:rsidRPr="00AA06A2">
              <w:t>Random Forest</w:t>
            </w:r>
          </w:p>
        </w:tc>
        <w:tc>
          <w:tcPr>
            <w:tcW w:w="1080" w:type="dxa"/>
          </w:tcPr>
          <w:p w14:paraId="5C322EFF" w14:textId="77777777" w:rsidR="00AA06A2" w:rsidRPr="00AA06A2" w:rsidRDefault="00AA06A2" w:rsidP="00AA06A2">
            <w:pPr>
              <w:tabs>
                <w:tab w:val="left" w:pos="993"/>
              </w:tabs>
            </w:pPr>
            <w:r w:rsidRPr="00AA06A2">
              <w:t>0.932</w:t>
            </w:r>
          </w:p>
        </w:tc>
        <w:tc>
          <w:tcPr>
            <w:tcW w:w="1086" w:type="dxa"/>
          </w:tcPr>
          <w:p w14:paraId="0C41C102" w14:textId="77777777" w:rsidR="00AA06A2" w:rsidRPr="00AA06A2" w:rsidRDefault="00AA06A2" w:rsidP="00AA06A2">
            <w:pPr>
              <w:tabs>
                <w:tab w:val="left" w:pos="993"/>
              </w:tabs>
            </w:pPr>
            <w:r w:rsidRPr="00AA06A2">
              <w:t>0.953</w:t>
            </w:r>
          </w:p>
        </w:tc>
        <w:tc>
          <w:tcPr>
            <w:tcW w:w="1080" w:type="dxa"/>
          </w:tcPr>
          <w:p w14:paraId="5196316F" w14:textId="77777777" w:rsidR="00AA06A2" w:rsidRPr="00AA06A2" w:rsidRDefault="00AA06A2" w:rsidP="00AA06A2">
            <w:pPr>
              <w:tabs>
                <w:tab w:val="left" w:pos="993"/>
              </w:tabs>
            </w:pPr>
            <w:r w:rsidRPr="00AA06A2">
              <w:t>0.932</w:t>
            </w:r>
          </w:p>
        </w:tc>
        <w:tc>
          <w:tcPr>
            <w:tcW w:w="1094" w:type="dxa"/>
          </w:tcPr>
          <w:p w14:paraId="09F342A6" w14:textId="77777777" w:rsidR="00AA06A2" w:rsidRPr="00AA06A2" w:rsidRDefault="00AA06A2" w:rsidP="00AA06A2">
            <w:pPr>
              <w:tabs>
                <w:tab w:val="left" w:pos="993"/>
              </w:tabs>
            </w:pPr>
            <w:r w:rsidRPr="00AA06A2">
              <w:t>0.932</w:t>
            </w:r>
          </w:p>
        </w:tc>
        <w:tc>
          <w:tcPr>
            <w:tcW w:w="1101" w:type="dxa"/>
          </w:tcPr>
          <w:p w14:paraId="54508D2E" w14:textId="77777777" w:rsidR="00AA06A2" w:rsidRPr="00AA06A2" w:rsidRDefault="00AA06A2" w:rsidP="00AA06A2">
            <w:pPr>
              <w:tabs>
                <w:tab w:val="left" w:pos="993"/>
              </w:tabs>
            </w:pPr>
            <w:r w:rsidRPr="00AA06A2">
              <w:t>0.953</w:t>
            </w:r>
          </w:p>
        </w:tc>
        <w:tc>
          <w:tcPr>
            <w:tcW w:w="1094" w:type="dxa"/>
          </w:tcPr>
          <w:p w14:paraId="3145045D" w14:textId="77777777" w:rsidR="00AA06A2" w:rsidRPr="00AA06A2" w:rsidRDefault="00AA06A2" w:rsidP="00AA06A2">
            <w:pPr>
              <w:tabs>
                <w:tab w:val="left" w:pos="993"/>
              </w:tabs>
            </w:pPr>
            <w:r w:rsidRPr="00AA06A2">
              <w:t>0.932</w:t>
            </w:r>
          </w:p>
        </w:tc>
        <w:tc>
          <w:tcPr>
            <w:tcW w:w="1337" w:type="dxa"/>
          </w:tcPr>
          <w:p w14:paraId="3FC537C8" w14:textId="77777777" w:rsidR="00AA06A2" w:rsidRPr="00AA06A2" w:rsidRDefault="00AA06A2" w:rsidP="00AA06A2">
            <w:pPr>
              <w:tabs>
                <w:tab w:val="left" w:pos="993"/>
              </w:tabs>
            </w:pPr>
            <w:r w:rsidRPr="00AA06A2">
              <w:t>0.995</w:t>
            </w:r>
          </w:p>
        </w:tc>
      </w:tr>
    </w:tbl>
    <w:p w14:paraId="10BBE8F5" w14:textId="77777777" w:rsidR="00951FC6" w:rsidRDefault="00951FC6" w:rsidP="00717F8A">
      <w:pPr>
        <w:jc w:val="both"/>
        <w:rPr>
          <w:rFonts w:cs="Libertinus Serif"/>
          <w:szCs w:val="18"/>
        </w:rPr>
      </w:pPr>
    </w:p>
    <w:p w14:paraId="22C3BA5B" w14:textId="61C9AB42" w:rsidR="00BB7D60" w:rsidRPr="00BC78EA" w:rsidRDefault="00BB7D60" w:rsidP="00717F8A">
      <w:pPr>
        <w:jc w:val="both"/>
        <w:rPr>
          <w:rFonts w:cs="Libertinus Serif"/>
          <w:szCs w:val="18"/>
        </w:rPr>
      </w:pPr>
      <w:r w:rsidRPr="00BC78EA">
        <w:rPr>
          <w:rFonts w:cs="Libertinus Serif"/>
          <w:szCs w:val="18"/>
        </w:rPr>
        <w:t>The table compares the performance of three machine learning models: Logistic Regression, Support Vector Machine (SVM), and Random Forest. All models exhibit high performance across multiple evaluation metrics, including Accuracy, Precision, Recall, F1 Score, and ROC AUC.</w:t>
      </w:r>
    </w:p>
    <w:p w14:paraId="49D0FA71" w14:textId="77777777" w:rsidR="00BB7D60" w:rsidRPr="00717F8A" w:rsidRDefault="00BB7D60" w:rsidP="00717F8A">
      <w:pPr>
        <w:jc w:val="both"/>
        <w:rPr>
          <w:rFonts w:cs="Libertinus Serif"/>
          <w:szCs w:val="18"/>
        </w:rPr>
      </w:pPr>
      <w:r w:rsidRPr="00717F8A">
        <w:rPr>
          <w:rFonts w:cs="Libertinus Serif"/>
          <w:szCs w:val="18"/>
        </w:rPr>
        <w:t xml:space="preserve">Accuracy: Logistic Regression and SVM both achieve the highest overall accuracy of 0.936, while Random Forest is slightly </w:t>
      </w:r>
      <w:r w:rsidRPr="00717F8A">
        <w:rPr>
          <w:lang w:val="en-ID"/>
        </w:rPr>
        <w:t>lower</w:t>
      </w:r>
      <w:r w:rsidRPr="00717F8A">
        <w:rPr>
          <w:rFonts w:cs="Libertinus Serif"/>
          <w:szCs w:val="18"/>
        </w:rPr>
        <w:t xml:space="preserve"> at 0.932.</w:t>
      </w:r>
    </w:p>
    <w:p w14:paraId="7124A288" w14:textId="77777777" w:rsidR="00BB7D60" w:rsidRPr="00717F8A" w:rsidRDefault="00BB7D60" w:rsidP="00717F8A">
      <w:pPr>
        <w:jc w:val="both"/>
        <w:rPr>
          <w:rFonts w:cs="Libertinus Serif"/>
          <w:szCs w:val="18"/>
        </w:rPr>
      </w:pPr>
      <w:r w:rsidRPr="00717F8A">
        <w:rPr>
          <w:rFonts w:cs="Libertinus Serif"/>
          <w:szCs w:val="18"/>
        </w:rPr>
        <w:t>Training vs. Test Accuracy: SVM has the highest training accuracy at 0.970, which may suggest a slight overfitting compared to its test accuracy (0.936). Logistic Regression shows a smaller gap between training (0.954) and test accuracy (0.936), indicating better generalization. Random Forest has a training accuracy of 0.953 and test accuracy of 0.932, also reflecting good generalization.</w:t>
      </w:r>
    </w:p>
    <w:p w14:paraId="4F3A56BC" w14:textId="26D7C6ED" w:rsidR="00BB7D60" w:rsidRPr="00717F8A" w:rsidRDefault="00BB7D60" w:rsidP="00717F8A">
      <w:pPr>
        <w:jc w:val="both"/>
        <w:rPr>
          <w:rFonts w:cs="Libertinus Serif"/>
          <w:szCs w:val="18"/>
        </w:rPr>
      </w:pPr>
      <w:r w:rsidRPr="00717F8A">
        <w:rPr>
          <w:rFonts w:cs="Libertinus Serif"/>
          <w:szCs w:val="18"/>
        </w:rPr>
        <w:t>Precision and Recall: All models reach a perfect recall score of 1.0, which means they are highly effective in identifying all relevant positive cases. However, the precision varies slightly:</w:t>
      </w:r>
      <w:r w:rsidR="00717F8A" w:rsidRPr="00717F8A">
        <w:rPr>
          <w:rFonts w:cs="Libertinus Serif"/>
          <w:szCs w:val="18"/>
        </w:rPr>
        <w:t xml:space="preserve"> </w:t>
      </w:r>
      <w:r w:rsidRPr="00717F8A">
        <w:rPr>
          <w:rFonts w:cs="Libertinus Serif"/>
          <w:szCs w:val="18"/>
        </w:rPr>
        <w:t>Logistic Regression and SVM have a precision of 0.821</w:t>
      </w:r>
      <w:r w:rsidR="00717F8A" w:rsidRPr="00717F8A">
        <w:rPr>
          <w:rFonts w:cs="Libertinus Serif"/>
          <w:szCs w:val="18"/>
        </w:rPr>
        <w:t xml:space="preserve">, </w:t>
      </w:r>
      <w:r w:rsidRPr="00717F8A">
        <w:rPr>
          <w:rFonts w:cs="Libertinus Serif"/>
          <w:szCs w:val="18"/>
        </w:rPr>
        <w:t>Random Forest has a slightly lower precision at 0.810</w:t>
      </w:r>
      <w:r w:rsidR="00717F8A" w:rsidRPr="00717F8A">
        <w:rPr>
          <w:rFonts w:cs="Libertinus Serif"/>
          <w:szCs w:val="18"/>
        </w:rPr>
        <w:t>.</w:t>
      </w:r>
    </w:p>
    <w:p w14:paraId="0C1E4E7B" w14:textId="77777777" w:rsidR="00BB7D60" w:rsidRPr="00717F8A" w:rsidRDefault="00BB7D60" w:rsidP="00717F8A">
      <w:pPr>
        <w:jc w:val="both"/>
        <w:rPr>
          <w:rFonts w:cs="Libertinus Serif"/>
          <w:szCs w:val="18"/>
        </w:rPr>
      </w:pPr>
      <w:r w:rsidRPr="00717F8A">
        <w:rPr>
          <w:rFonts w:cs="Libertinus Serif"/>
          <w:szCs w:val="18"/>
        </w:rPr>
        <w:t>F1 Score: Logistic Regression and SVM again perform equally well with an F1 score of 0.901, while Random Forest is marginally lower at 0.895.</w:t>
      </w:r>
    </w:p>
    <w:p w14:paraId="01B5728B" w14:textId="77777777" w:rsidR="00BB7D60" w:rsidRDefault="00BB7D60" w:rsidP="00717F8A">
      <w:pPr>
        <w:jc w:val="both"/>
        <w:rPr>
          <w:rFonts w:cs="Libertinus Serif"/>
          <w:szCs w:val="18"/>
        </w:rPr>
      </w:pPr>
      <w:r w:rsidRPr="00717F8A">
        <w:rPr>
          <w:rFonts w:cs="Libertinus Serif"/>
          <w:szCs w:val="18"/>
        </w:rPr>
        <w:t>ROC AUC: All models perform excellently in terms of ROC AUC, with values very close to 1.0. Logistic Regression and Random Forest share the highest ROC AUC of 0.995, while SVM is just slightly behind at 0.994.</w:t>
      </w:r>
    </w:p>
    <w:p w14:paraId="2E0CA02D" w14:textId="77777777" w:rsidR="00717F8A" w:rsidRPr="00717F8A" w:rsidRDefault="00717F8A" w:rsidP="00717F8A">
      <w:pPr>
        <w:jc w:val="both"/>
        <w:rPr>
          <w:rFonts w:cs="Libertinus Serif"/>
          <w:szCs w:val="18"/>
        </w:rPr>
      </w:pPr>
    </w:p>
    <w:p w14:paraId="28F7F844" w14:textId="77777777" w:rsidR="00BB7D60" w:rsidRPr="00AA06A2" w:rsidRDefault="00BB7D60" w:rsidP="00AA06A2">
      <w:pPr>
        <w:pStyle w:val="ListParagraph"/>
        <w:widowControl w:val="0"/>
        <w:numPr>
          <w:ilvl w:val="0"/>
          <w:numId w:val="29"/>
        </w:numPr>
        <w:tabs>
          <w:tab w:val="left" w:pos="567"/>
        </w:tabs>
        <w:autoSpaceDE w:val="0"/>
        <w:autoSpaceDN w:val="0"/>
        <w:spacing w:after="57" w:line="240" w:lineRule="auto"/>
        <w:jc w:val="both"/>
        <w:rPr>
          <w:rFonts w:ascii="Times New Roman" w:hAnsi="Times New Roman"/>
          <w:b/>
          <w:bCs/>
          <w:sz w:val="20"/>
          <w:szCs w:val="20"/>
          <w:lang w:val="en-ID"/>
        </w:rPr>
      </w:pPr>
      <w:r w:rsidRPr="00AA06A2">
        <w:rPr>
          <w:rFonts w:ascii="Times New Roman" w:hAnsi="Times New Roman"/>
          <w:b/>
          <w:bCs/>
          <w:sz w:val="20"/>
          <w:szCs w:val="20"/>
        </w:rPr>
        <w:t>Model</w:t>
      </w:r>
      <w:r w:rsidRPr="00AA06A2">
        <w:rPr>
          <w:rFonts w:ascii="Times New Roman" w:hAnsi="Times New Roman"/>
          <w:b/>
          <w:bCs/>
          <w:sz w:val="20"/>
          <w:szCs w:val="20"/>
          <w:lang w:val="en-ID"/>
        </w:rPr>
        <w:t xml:space="preserve"> Evaluation </w:t>
      </w:r>
    </w:p>
    <w:p w14:paraId="4BFC2444" w14:textId="756A7394" w:rsidR="00BB7D60" w:rsidRDefault="00BB7D60" w:rsidP="00BB7D60">
      <w:pPr>
        <w:rPr>
          <w:lang w:val="en-ID"/>
        </w:rPr>
      </w:pPr>
    </w:p>
    <w:p w14:paraId="23083433" w14:textId="0FE0F6C5" w:rsidR="00BB7D60" w:rsidRDefault="002C6C57" w:rsidP="00BB7D60">
      <w:pPr>
        <w:rPr>
          <w:lang w:val="en-ID"/>
        </w:rPr>
      </w:pPr>
      <w:r w:rsidRPr="005E7330">
        <w:rPr>
          <w:noProof/>
          <w:lang w:val="en-ID"/>
        </w:rPr>
        <w:drawing>
          <wp:anchor distT="0" distB="0" distL="114300" distR="114300" simplePos="0" relativeHeight="251657216" behindDoc="0" locked="0" layoutInCell="1" allowOverlap="1" wp14:anchorId="1B24024D" wp14:editId="0BA642D4">
            <wp:simplePos x="0" y="0"/>
            <wp:positionH relativeFrom="column">
              <wp:posOffset>858193</wp:posOffset>
            </wp:positionH>
            <wp:positionV relativeFrom="paragraph">
              <wp:posOffset>3284</wp:posOffset>
            </wp:positionV>
            <wp:extent cx="3982862" cy="28320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82862" cy="2832028"/>
                    </a:xfrm>
                    <a:prstGeom prst="rect">
                      <a:avLst/>
                    </a:prstGeom>
                  </pic:spPr>
                </pic:pic>
              </a:graphicData>
            </a:graphic>
            <wp14:sizeRelH relativeFrom="margin">
              <wp14:pctWidth>0</wp14:pctWidth>
            </wp14:sizeRelH>
            <wp14:sizeRelV relativeFrom="margin">
              <wp14:pctHeight>0</wp14:pctHeight>
            </wp14:sizeRelV>
          </wp:anchor>
        </w:drawing>
      </w:r>
    </w:p>
    <w:p w14:paraId="0CC746CC" w14:textId="77777777" w:rsidR="00BB7D60" w:rsidRDefault="00BB7D60" w:rsidP="00BB7D60">
      <w:pPr>
        <w:rPr>
          <w:lang w:val="en-ID"/>
        </w:rPr>
      </w:pPr>
    </w:p>
    <w:p w14:paraId="53F3B169" w14:textId="77777777" w:rsidR="00BB7D60" w:rsidRDefault="00BB7D60" w:rsidP="00BB7D60">
      <w:pPr>
        <w:rPr>
          <w:lang w:val="en-ID"/>
        </w:rPr>
      </w:pPr>
    </w:p>
    <w:p w14:paraId="46E9F6EA" w14:textId="77777777" w:rsidR="00BB7D60" w:rsidRDefault="00BB7D60" w:rsidP="00BB7D60">
      <w:pPr>
        <w:rPr>
          <w:lang w:val="en-ID"/>
        </w:rPr>
      </w:pPr>
    </w:p>
    <w:p w14:paraId="18B24CD2" w14:textId="77777777" w:rsidR="00BB7D60" w:rsidRDefault="00BB7D60" w:rsidP="00BB7D60">
      <w:pPr>
        <w:rPr>
          <w:lang w:val="en-ID"/>
        </w:rPr>
      </w:pPr>
    </w:p>
    <w:p w14:paraId="0B39D7A7" w14:textId="26100841" w:rsidR="00BB7D60" w:rsidRDefault="00AA06A2" w:rsidP="00BB7D60">
      <w:pPr>
        <w:rPr>
          <w:lang w:val="en-ID"/>
        </w:rPr>
      </w:pPr>
      <w:r>
        <w:rPr>
          <w:lang w:val="en-ID"/>
        </w:rPr>
        <w:tab/>
      </w:r>
      <w:r>
        <w:rPr>
          <w:lang w:val="en-ID"/>
        </w:rPr>
        <w:tab/>
      </w:r>
    </w:p>
    <w:p w14:paraId="4512E075" w14:textId="77777777" w:rsidR="00BB7D60" w:rsidRDefault="00BB7D60" w:rsidP="00BB7D60">
      <w:pPr>
        <w:rPr>
          <w:lang w:val="en-ID"/>
        </w:rPr>
      </w:pPr>
    </w:p>
    <w:p w14:paraId="0039CA97" w14:textId="77777777" w:rsidR="00BB7D60" w:rsidRDefault="00BB7D60" w:rsidP="00BB7D60">
      <w:pPr>
        <w:rPr>
          <w:lang w:val="en-ID"/>
        </w:rPr>
      </w:pPr>
    </w:p>
    <w:p w14:paraId="441DAD6A" w14:textId="77777777" w:rsidR="00BB7D60" w:rsidRDefault="00BB7D60" w:rsidP="00BB7D60">
      <w:pPr>
        <w:rPr>
          <w:lang w:val="en-ID"/>
        </w:rPr>
      </w:pPr>
    </w:p>
    <w:p w14:paraId="41929BF1" w14:textId="77777777" w:rsidR="00BB7D60" w:rsidRDefault="00BB7D60" w:rsidP="00BB7D60">
      <w:pPr>
        <w:rPr>
          <w:lang w:val="en-ID"/>
        </w:rPr>
      </w:pPr>
    </w:p>
    <w:p w14:paraId="396A0AA6" w14:textId="77777777" w:rsidR="00AA06A2" w:rsidRDefault="00AA06A2" w:rsidP="00BB7D60">
      <w:pPr>
        <w:spacing w:before="100" w:beforeAutospacing="1" w:after="100" w:afterAutospacing="1"/>
        <w:rPr>
          <w:rFonts w:cs="Libertinus Serif"/>
          <w:szCs w:val="18"/>
        </w:rPr>
      </w:pPr>
    </w:p>
    <w:p w14:paraId="6E6D4A89" w14:textId="77777777" w:rsidR="00AA06A2" w:rsidRDefault="00AA06A2" w:rsidP="00AA06A2">
      <w:pPr>
        <w:spacing w:before="100" w:beforeAutospacing="1" w:after="100" w:afterAutospacing="1"/>
        <w:jc w:val="center"/>
        <w:rPr>
          <w:rFonts w:cs="Libertinus Serif"/>
          <w:szCs w:val="18"/>
        </w:rPr>
      </w:pPr>
    </w:p>
    <w:p w14:paraId="76A3DA3C" w14:textId="77777777" w:rsidR="002C6C57" w:rsidRDefault="002C6C57" w:rsidP="00AA06A2">
      <w:pPr>
        <w:spacing w:before="100" w:beforeAutospacing="1" w:after="100" w:afterAutospacing="1"/>
        <w:jc w:val="center"/>
        <w:rPr>
          <w:rFonts w:cs="Libertinus Serif"/>
          <w:szCs w:val="18"/>
        </w:rPr>
      </w:pPr>
    </w:p>
    <w:p w14:paraId="7898B5B7" w14:textId="77777777" w:rsidR="002C6C57" w:rsidRDefault="002C6C57" w:rsidP="00AA06A2">
      <w:pPr>
        <w:spacing w:before="100" w:beforeAutospacing="1" w:after="100" w:afterAutospacing="1"/>
        <w:jc w:val="center"/>
        <w:rPr>
          <w:rFonts w:cs="Libertinus Serif"/>
          <w:szCs w:val="18"/>
        </w:rPr>
      </w:pPr>
    </w:p>
    <w:p w14:paraId="57246A32" w14:textId="33E1CB49" w:rsidR="001F1756" w:rsidRDefault="00AA06A2" w:rsidP="00AA06A2">
      <w:pPr>
        <w:spacing w:before="100" w:beforeAutospacing="1" w:after="100" w:afterAutospacing="1"/>
        <w:jc w:val="center"/>
        <w:rPr>
          <w:rFonts w:cs="Libertinus Serif"/>
          <w:szCs w:val="18"/>
        </w:rPr>
      </w:pPr>
      <w:r>
        <w:rPr>
          <w:rFonts w:cs="Libertinus Serif"/>
          <w:szCs w:val="18"/>
        </w:rPr>
        <w:t xml:space="preserve">Figure </w:t>
      </w:r>
      <w:r w:rsidR="002C6C57">
        <w:rPr>
          <w:rFonts w:cs="Libertinus Serif"/>
          <w:szCs w:val="18"/>
        </w:rPr>
        <w:t>4</w:t>
      </w:r>
      <w:r>
        <w:rPr>
          <w:rFonts w:cs="Libertinus Serif"/>
          <w:szCs w:val="18"/>
        </w:rPr>
        <w:t xml:space="preserve">. </w:t>
      </w:r>
      <w:r w:rsidRPr="00E809A1">
        <w:t>Confusion Matrix</w:t>
      </w:r>
      <w:r>
        <w:t xml:space="preserve"> of All Models</w:t>
      </w:r>
    </w:p>
    <w:p w14:paraId="4A9BD6B8" w14:textId="77777777" w:rsidR="002C6C57" w:rsidRDefault="00BB7D60" w:rsidP="002C6C57">
      <w:pPr>
        <w:ind w:firstLine="720"/>
        <w:jc w:val="both"/>
        <w:rPr>
          <w:rFonts w:cs="Libertinus Serif"/>
          <w:szCs w:val="18"/>
        </w:rPr>
      </w:pPr>
      <w:r w:rsidRPr="005E7330">
        <w:rPr>
          <w:rFonts w:cs="Libertinus Serif"/>
          <w:szCs w:val="18"/>
        </w:rPr>
        <w:t>All three models demonstrate excellent classification capabilities, particularly in detecting "At-Risk"</w:t>
      </w:r>
      <w:r>
        <w:rPr>
          <w:rFonts w:cs="Libertinus Serif"/>
          <w:szCs w:val="18"/>
        </w:rPr>
        <w:t xml:space="preserve"> (</w:t>
      </w:r>
      <w:proofErr w:type="spellStart"/>
      <w:r>
        <w:rPr>
          <w:rFonts w:cs="Libertinus Serif"/>
          <w:szCs w:val="18"/>
        </w:rPr>
        <w:t>Beresiko</w:t>
      </w:r>
      <w:proofErr w:type="spellEnd"/>
      <w:r>
        <w:rPr>
          <w:rFonts w:cs="Libertinus Serif"/>
          <w:szCs w:val="18"/>
        </w:rPr>
        <w:t>)</w:t>
      </w:r>
      <w:r w:rsidRPr="005E7330">
        <w:rPr>
          <w:rFonts w:cs="Libertinus Serif"/>
          <w:szCs w:val="18"/>
        </w:rPr>
        <w:t xml:space="preserve"> cases, with a perfect </w:t>
      </w:r>
      <w:r w:rsidRPr="002C6C57">
        <w:t>recall</w:t>
      </w:r>
      <w:r w:rsidRPr="005E7330">
        <w:rPr>
          <w:rFonts w:cs="Libertinus Serif"/>
          <w:szCs w:val="18"/>
        </w:rPr>
        <w:t xml:space="preserve"> score of 1.0 and no false negatives. This is especially crucial in </w:t>
      </w:r>
      <w:r w:rsidRPr="005E7330">
        <w:rPr>
          <w:rFonts w:cs="Libertinus Serif"/>
          <w:szCs w:val="18"/>
        </w:rPr>
        <w:lastRenderedPageBreak/>
        <w:t>medical contexts or early warning systems, where failing to detect at-risk cases can have severe consequences.</w:t>
      </w:r>
      <w:r w:rsidR="002C6C57">
        <w:rPr>
          <w:rFonts w:cs="Libertinus Serif"/>
          <w:szCs w:val="18"/>
        </w:rPr>
        <w:t xml:space="preserve"> </w:t>
      </w:r>
      <w:r w:rsidRPr="005E7330">
        <w:rPr>
          <w:rFonts w:cs="Libertinus Serif"/>
          <w:szCs w:val="18"/>
        </w:rPr>
        <w:t>However, a notable difference lies in the number of false positives, where "Healthy"</w:t>
      </w:r>
      <w:r>
        <w:rPr>
          <w:rFonts w:cs="Libertinus Serif"/>
          <w:szCs w:val="18"/>
        </w:rPr>
        <w:t xml:space="preserve"> (Sehat)</w:t>
      </w:r>
      <w:r w:rsidRPr="005E7330">
        <w:rPr>
          <w:rFonts w:cs="Libertinus Serif"/>
          <w:szCs w:val="18"/>
        </w:rPr>
        <w:t xml:space="preserve"> cases are incorrectly classified as "At-Risk." Both Logistic Regression and SVM produce 14 false positives, while Random Forest results in 15. This difference impacts the precision and F1-score, where Logistic Regression and SVM slightly outperform Random Forest</w:t>
      </w:r>
      <w:r w:rsidR="002C6C57">
        <w:rPr>
          <w:rFonts w:cs="Libertinus Serif"/>
          <w:szCs w:val="18"/>
        </w:rPr>
        <w:t xml:space="preserve">. </w:t>
      </w:r>
      <w:r w:rsidRPr="005E7330">
        <w:rPr>
          <w:rFonts w:cs="Libertinus Serif"/>
          <w:szCs w:val="18"/>
        </w:rPr>
        <w:t>Considering the overall confusion matrix results, it can be concluded that Logistic Regression and SVM are more optimal in balancing accurate risk detection while minimizing false alarms. Random Forest remains competitive but tends to produce slightly more misclassifications for the "Healthy" class.</w:t>
      </w:r>
    </w:p>
    <w:p w14:paraId="59423919" w14:textId="77777777" w:rsidR="002C6C57" w:rsidRDefault="00BB7D60" w:rsidP="002C6C57">
      <w:pPr>
        <w:ind w:firstLine="720"/>
        <w:jc w:val="both"/>
        <w:rPr>
          <w:rFonts w:cs="Libertinus Serif"/>
          <w:szCs w:val="18"/>
        </w:rPr>
      </w:pPr>
      <w:r w:rsidRPr="005E7330">
        <w:rPr>
          <w:rFonts w:cs="Libertinus Serif"/>
          <w:szCs w:val="18"/>
        </w:rPr>
        <w:t>The performance of three classification models</w:t>
      </w:r>
      <w:r w:rsidR="002C6C57">
        <w:rPr>
          <w:rFonts w:cs="Libertinus Serif"/>
          <w:szCs w:val="18"/>
        </w:rPr>
        <w:t xml:space="preserve"> </w:t>
      </w:r>
      <w:r w:rsidRPr="005E7330">
        <w:rPr>
          <w:rFonts w:cs="Libertinus Serif"/>
          <w:szCs w:val="18"/>
        </w:rPr>
        <w:t>Logistic Regression, Support Vector Machine (SVM), and Random Forest</w:t>
      </w:r>
      <w:r w:rsidR="002C6C57">
        <w:rPr>
          <w:rFonts w:cs="Libertinus Serif"/>
          <w:szCs w:val="18"/>
        </w:rPr>
        <w:t xml:space="preserve"> </w:t>
      </w:r>
      <w:r w:rsidRPr="005E7330">
        <w:rPr>
          <w:rFonts w:cs="Libertinus Serif"/>
          <w:szCs w:val="18"/>
        </w:rPr>
        <w:t>was evaluated using standard metrics. Table 1 summarizes the evaluation results.</w:t>
      </w:r>
      <w:r w:rsidR="002C6C57">
        <w:rPr>
          <w:rFonts w:cs="Libertinus Serif"/>
          <w:szCs w:val="18"/>
        </w:rPr>
        <w:t xml:space="preserve"> </w:t>
      </w:r>
      <w:r w:rsidRPr="005E7330">
        <w:rPr>
          <w:rFonts w:cs="Libertinus Serif"/>
          <w:szCs w:val="18"/>
        </w:rPr>
        <w:t>All models achieved high accuracy, with Logistic Regression and SVM showing the highest test accuracy (0.936), and Random Forest slightly lower</w:t>
      </w:r>
      <w:r w:rsidRPr="005E7330">
        <w:rPr>
          <w:sz w:val="24"/>
          <w:szCs w:val="24"/>
        </w:rPr>
        <w:t xml:space="preserve"> </w:t>
      </w:r>
      <w:r w:rsidRPr="005E7330">
        <w:rPr>
          <w:rFonts w:cs="Libertinus Serif"/>
          <w:szCs w:val="18"/>
        </w:rPr>
        <w:t>(0.932). All models recorded a recall of 1.0, indicating no "At-Risk" cases were misclassified.</w:t>
      </w:r>
    </w:p>
    <w:p w14:paraId="5A717386" w14:textId="3EFC6BC1" w:rsidR="002622CD" w:rsidRPr="00E4044E" w:rsidRDefault="00BB7D60" w:rsidP="002C6C57">
      <w:pPr>
        <w:ind w:firstLine="720"/>
        <w:jc w:val="both"/>
        <w:rPr>
          <w:rFonts w:cs="Libertinus Serif"/>
          <w:szCs w:val="18"/>
        </w:rPr>
      </w:pPr>
      <w:r w:rsidRPr="005E7330">
        <w:rPr>
          <w:rFonts w:cs="Libertinus Serif"/>
          <w:szCs w:val="18"/>
        </w:rPr>
        <w:t>However, differences were observed in precision and F1-score. Logistic Regression and SVM achieved a precision of 0.821 and F1-score of 0.901, while Random Forest showed slightly lower values (precision = 0.810, F1 = 0.895). ROC AUC values were high across all models (&gt;0.99), suggesting excellent classification performance.</w:t>
      </w:r>
      <w:r w:rsidR="002C6C57">
        <w:rPr>
          <w:rFonts w:cs="Libertinus Serif"/>
          <w:szCs w:val="18"/>
        </w:rPr>
        <w:t xml:space="preserve"> </w:t>
      </w:r>
      <w:r w:rsidRPr="005E7330">
        <w:rPr>
          <w:rFonts w:cs="Libertinus Serif"/>
          <w:szCs w:val="18"/>
        </w:rPr>
        <w:t>Confusion matrix analysis confirmed these results. Logistic Regression and SVM produced 14 false positives, while Random Forest produced 15. No false negatives occurred in any model.</w:t>
      </w:r>
      <w:r w:rsidR="002C6C57">
        <w:rPr>
          <w:rFonts w:cs="Libertinus Serif"/>
          <w:szCs w:val="18"/>
        </w:rPr>
        <w:t xml:space="preserve"> </w:t>
      </w:r>
      <w:r w:rsidRPr="005E7330">
        <w:rPr>
          <w:rFonts w:cs="Libertinus Serif"/>
          <w:szCs w:val="18"/>
        </w:rPr>
        <w:t>No unexpected results were observed, but the consistently perfect recall across all models highlights their reliability in identifying at-risk cases, a key consideration in risk-sensitive domains.</w:t>
      </w:r>
    </w:p>
    <w:p w14:paraId="06B417A2" w14:textId="77777777" w:rsidR="00BB7D60" w:rsidRPr="003D5B84" w:rsidRDefault="00BB7D60" w:rsidP="0033719B">
      <w:pPr>
        <w:rPr>
          <w:b/>
          <w:bCs/>
          <w:lang w:val="id-ID"/>
        </w:rPr>
      </w:pPr>
    </w:p>
    <w:p w14:paraId="4D69C5C7" w14:textId="41DB445F" w:rsidR="00904D6D" w:rsidRPr="003D5B84" w:rsidRDefault="00F33C08" w:rsidP="0033719B">
      <w:pPr>
        <w:numPr>
          <w:ilvl w:val="0"/>
          <w:numId w:val="15"/>
        </w:numPr>
        <w:tabs>
          <w:tab w:val="left" w:pos="426"/>
        </w:tabs>
        <w:ind w:left="426" w:hanging="426"/>
        <w:rPr>
          <w:b/>
          <w:bCs/>
          <w:lang w:val="id-ID"/>
        </w:rPr>
      </w:pPr>
      <w:r w:rsidRPr="003D5B84">
        <w:rPr>
          <w:b/>
          <w:bCs/>
          <w:lang w:val="id-ID"/>
        </w:rPr>
        <w:t>CONCLUSION</w:t>
      </w:r>
      <w:r>
        <w:rPr>
          <w:b/>
          <w:bCs/>
        </w:rPr>
        <w:t xml:space="preserve"> </w:t>
      </w:r>
    </w:p>
    <w:p w14:paraId="53809383" w14:textId="77777777" w:rsidR="00582DA9" w:rsidRPr="00582DA9" w:rsidRDefault="00582DA9" w:rsidP="00582DA9">
      <w:pPr>
        <w:ind w:firstLine="720"/>
        <w:jc w:val="both"/>
        <w:rPr>
          <w:lang w:val="id-ID"/>
        </w:rPr>
      </w:pPr>
      <w:r w:rsidRPr="00582DA9">
        <w:rPr>
          <w:lang w:val="id-ID"/>
        </w:rPr>
        <w:t>Among the three models evaluated, Logistic Regression demonstrated the best overall performance by achieving high accuracy, perfect recall, and the lowest number of false positives alongside SVM. While SVM showed similar results, Logistic Regression offered a better balance between training and testing performance, indicating stronger generalization. Therefore, Logistic Regression is considered the most optimal model for accurately detecting at-risk individuals while minimizing false alarms. Future work should focus on validating this model with larger and more diverse datasets.</w:t>
      </w:r>
    </w:p>
    <w:p w14:paraId="43EA5428" w14:textId="77777777" w:rsidR="002476AC" w:rsidRDefault="002476AC" w:rsidP="0033719B">
      <w:pPr>
        <w:rPr>
          <w:b/>
          <w:bCs/>
        </w:rPr>
      </w:pPr>
    </w:p>
    <w:p w14:paraId="733DA33E" w14:textId="77777777" w:rsidR="00951FC6" w:rsidRDefault="00F33C08" w:rsidP="0033719B">
      <w:pPr>
        <w:rPr>
          <w:rStyle w:val="apple-style-span"/>
          <w:b/>
          <w:color w:val="000000"/>
          <w:lang w:val="pt-BR"/>
        </w:rPr>
      </w:pPr>
      <w:r w:rsidRPr="003D5B84">
        <w:rPr>
          <w:rStyle w:val="apple-style-span"/>
          <w:b/>
          <w:color w:val="000000"/>
          <w:lang w:val="pt-BR"/>
        </w:rPr>
        <w:t>REFERENCES</w:t>
      </w:r>
    </w:p>
    <w:p w14:paraId="5955E133" w14:textId="77777777" w:rsidR="00951FC6" w:rsidRDefault="00951FC6" w:rsidP="0033719B">
      <w:pPr>
        <w:rPr>
          <w:rStyle w:val="apple-style-span"/>
          <w:b/>
          <w:color w:val="000000"/>
          <w:lang w:val="pt-BR"/>
        </w:rPr>
      </w:pPr>
    </w:p>
    <w:p w14:paraId="6A43FF78" w14:textId="1E39EF04" w:rsidR="007803EA" w:rsidRPr="007803EA" w:rsidRDefault="00951FC6" w:rsidP="007803EA">
      <w:pPr>
        <w:widowControl w:val="0"/>
        <w:autoSpaceDE w:val="0"/>
        <w:autoSpaceDN w:val="0"/>
        <w:adjustRightInd w:val="0"/>
        <w:ind w:left="640" w:hanging="640"/>
        <w:jc w:val="both"/>
        <w:rPr>
          <w:noProof/>
        </w:rPr>
      </w:pPr>
      <w:r>
        <w:rPr>
          <w:rStyle w:val="apple-style-span"/>
          <w:b/>
          <w:color w:val="000000"/>
          <w:lang w:val="pt-BR"/>
        </w:rPr>
        <w:fldChar w:fldCharType="begin" w:fldLock="1"/>
      </w:r>
      <w:r>
        <w:rPr>
          <w:rStyle w:val="apple-style-span"/>
          <w:b/>
          <w:color w:val="000000"/>
          <w:lang w:val="pt-BR"/>
        </w:rPr>
        <w:instrText xml:space="preserve">ADDIN Mendeley Bibliography CSL_BIBLIOGRAPHY </w:instrText>
      </w:r>
      <w:r>
        <w:rPr>
          <w:rStyle w:val="apple-style-span"/>
          <w:b/>
          <w:color w:val="000000"/>
          <w:lang w:val="pt-BR"/>
        </w:rPr>
        <w:fldChar w:fldCharType="separate"/>
      </w:r>
      <w:r w:rsidR="007803EA" w:rsidRPr="007803EA">
        <w:rPr>
          <w:noProof/>
        </w:rPr>
        <w:t>[1]</w:t>
      </w:r>
      <w:r w:rsidR="007803EA" w:rsidRPr="007803EA">
        <w:rPr>
          <w:noProof/>
        </w:rPr>
        <w:tab/>
        <w:t xml:space="preserve">W. H. Organization, “Depression and Other Common Mental Disorders: Global Health Estimates,” </w:t>
      </w:r>
      <w:r w:rsidR="007803EA" w:rsidRPr="007803EA">
        <w:rPr>
          <w:i/>
          <w:iCs/>
          <w:noProof/>
        </w:rPr>
        <w:t>WHO Press</w:t>
      </w:r>
      <w:r w:rsidR="007803EA" w:rsidRPr="007803EA">
        <w:rPr>
          <w:noProof/>
        </w:rPr>
        <w:t>, 2023.</w:t>
      </w:r>
    </w:p>
    <w:p w14:paraId="4DAC9820" w14:textId="77777777" w:rsidR="007803EA" w:rsidRPr="007803EA" w:rsidRDefault="007803EA" w:rsidP="007803EA">
      <w:pPr>
        <w:widowControl w:val="0"/>
        <w:autoSpaceDE w:val="0"/>
        <w:autoSpaceDN w:val="0"/>
        <w:adjustRightInd w:val="0"/>
        <w:ind w:left="640" w:hanging="640"/>
        <w:jc w:val="both"/>
        <w:rPr>
          <w:noProof/>
        </w:rPr>
      </w:pPr>
      <w:r w:rsidRPr="007803EA">
        <w:rPr>
          <w:noProof/>
        </w:rPr>
        <w:t>[2]</w:t>
      </w:r>
      <w:r w:rsidRPr="007803EA">
        <w:rPr>
          <w:noProof/>
        </w:rPr>
        <w:tab/>
        <w:t xml:space="preserve">I. M. of Health, “Indonesia National Adolescent Mental Health Survey (I-NAMHS),” </w:t>
      </w:r>
      <w:r w:rsidRPr="007803EA">
        <w:rPr>
          <w:i/>
          <w:iCs/>
          <w:noProof/>
        </w:rPr>
        <w:t>Jakarta Kementeri. Kesehat. RI.</w:t>
      </w:r>
      <w:r w:rsidRPr="007803EA">
        <w:rPr>
          <w:noProof/>
        </w:rPr>
        <w:t>, 2022.</w:t>
      </w:r>
    </w:p>
    <w:p w14:paraId="7154F54A" w14:textId="77777777" w:rsidR="007803EA" w:rsidRPr="007803EA" w:rsidRDefault="007803EA" w:rsidP="007803EA">
      <w:pPr>
        <w:widowControl w:val="0"/>
        <w:autoSpaceDE w:val="0"/>
        <w:autoSpaceDN w:val="0"/>
        <w:adjustRightInd w:val="0"/>
        <w:ind w:left="640" w:hanging="640"/>
        <w:jc w:val="both"/>
        <w:rPr>
          <w:noProof/>
        </w:rPr>
      </w:pPr>
      <w:r w:rsidRPr="007803EA">
        <w:rPr>
          <w:noProof/>
        </w:rPr>
        <w:t>[3]</w:t>
      </w:r>
      <w:r w:rsidRPr="007803EA">
        <w:rPr>
          <w:noProof/>
        </w:rPr>
        <w:tab/>
        <w:t xml:space="preserve">B. P. Statistik, “Statistik Indonesia 2023: Keadaan Penduduk Indonesia,” </w:t>
      </w:r>
      <w:r w:rsidRPr="007803EA">
        <w:rPr>
          <w:i/>
          <w:iCs/>
          <w:noProof/>
        </w:rPr>
        <w:t>Jakarta BPS</w:t>
      </w:r>
      <w:r w:rsidRPr="007803EA">
        <w:rPr>
          <w:noProof/>
        </w:rPr>
        <w:t>, 2023.</w:t>
      </w:r>
    </w:p>
    <w:p w14:paraId="635306C6" w14:textId="77777777" w:rsidR="007803EA" w:rsidRPr="007803EA" w:rsidRDefault="007803EA" w:rsidP="007803EA">
      <w:pPr>
        <w:widowControl w:val="0"/>
        <w:autoSpaceDE w:val="0"/>
        <w:autoSpaceDN w:val="0"/>
        <w:adjustRightInd w:val="0"/>
        <w:ind w:left="640" w:hanging="640"/>
        <w:jc w:val="both"/>
        <w:rPr>
          <w:noProof/>
        </w:rPr>
      </w:pPr>
      <w:r w:rsidRPr="007803EA">
        <w:rPr>
          <w:noProof/>
        </w:rPr>
        <w:t>[4]</w:t>
      </w:r>
      <w:r w:rsidRPr="007803EA">
        <w:rPr>
          <w:noProof/>
        </w:rPr>
        <w:tab/>
        <w:t xml:space="preserve">W. K. Twenge, J. M., Spitzberg, B. H., &amp; Campbell, “Less in-person social interaction with peers among U.S. adolescents in the 21st century and links to loneliness.,” </w:t>
      </w:r>
      <w:r w:rsidRPr="007803EA">
        <w:rPr>
          <w:i/>
          <w:iCs/>
          <w:noProof/>
        </w:rPr>
        <w:t>J. Soc. Pers. Relat.</w:t>
      </w:r>
      <w:r w:rsidRPr="007803EA">
        <w:rPr>
          <w:noProof/>
        </w:rPr>
        <w:t>, vol. 36, no. 6, pp. 1892–1913, 2019.</w:t>
      </w:r>
    </w:p>
    <w:p w14:paraId="0337D38B" w14:textId="77777777" w:rsidR="007803EA" w:rsidRPr="007803EA" w:rsidRDefault="007803EA" w:rsidP="007803EA">
      <w:pPr>
        <w:widowControl w:val="0"/>
        <w:autoSpaceDE w:val="0"/>
        <w:autoSpaceDN w:val="0"/>
        <w:adjustRightInd w:val="0"/>
        <w:ind w:left="640" w:hanging="640"/>
        <w:jc w:val="both"/>
        <w:rPr>
          <w:noProof/>
        </w:rPr>
      </w:pPr>
      <w:r w:rsidRPr="007803EA">
        <w:rPr>
          <w:noProof/>
        </w:rPr>
        <w:t>[5]</w:t>
      </w:r>
      <w:r w:rsidRPr="007803EA">
        <w:rPr>
          <w:noProof/>
        </w:rPr>
        <w:tab/>
        <w:t xml:space="preserve">S. Immanuel, M. N. Teferra, M. Baumert, and N. Bidargaddi, “Heart Rate Variability for Evaluating Psychological Stress Changes in Healthy Adults: A Scoping Review,” </w:t>
      </w:r>
      <w:r w:rsidRPr="007803EA">
        <w:rPr>
          <w:i/>
          <w:iCs/>
          <w:noProof/>
        </w:rPr>
        <w:t>Neuropsychobiology</w:t>
      </w:r>
      <w:r w:rsidRPr="007803EA">
        <w:rPr>
          <w:noProof/>
        </w:rPr>
        <w:t>, vol. 82, no. 4, pp. 187–202, 2023, doi: 10.1159/000530376.</w:t>
      </w:r>
    </w:p>
    <w:p w14:paraId="0FBB2768" w14:textId="77777777" w:rsidR="007803EA" w:rsidRPr="007803EA" w:rsidRDefault="007803EA" w:rsidP="007803EA">
      <w:pPr>
        <w:widowControl w:val="0"/>
        <w:autoSpaceDE w:val="0"/>
        <w:autoSpaceDN w:val="0"/>
        <w:adjustRightInd w:val="0"/>
        <w:ind w:left="640" w:hanging="640"/>
        <w:jc w:val="both"/>
        <w:rPr>
          <w:noProof/>
        </w:rPr>
      </w:pPr>
      <w:r w:rsidRPr="007803EA">
        <w:rPr>
          <w:noProof/>
        </w:rPr>
        <w:t>[6]</w:t>
      </w:r>
      <w:r w:rsidRPr="007803EA">
        <w:rPr>
          <w:noProof/>
        </w:rPr>
        <w:tab/>
        <w:t xml:space="preserve">H. G. Kim, E. J. Cheon, D. S. Bai, Y. H. Lee, and B. H. Koo, “Stress and heart rate variability: A meta-analysis and review of the literature,” </w:t>
      </w:r>
      <w:r w:rsidRPr="007803EA">
        <w:rPr>
          <w:i/>
          <w:iCs/>
          <w:noProof/>
        </w:rPr>
        <w:t>Psychiatry Investig.</w:t>
      </w:r>
      <w:r w:rsidRPr="007803EA">
        <w:rPr>
          <w:noProof/>
        </w:rPr>
        <w:t>, vol. 15, no. 3, pp. 235–245, 2018, doi: 10.30773/pi.2017.08.17.</w:t>
      </w:r>
    </w:p>
    <w:p w14:paraId="19E38532" w14:textId="77777777" w:rsidR="007803EA" w:rsidRPr="007803EA" w:rsidRDefault="007803EA" w:rsidP="007803EA">
      <w:pPr>
        <w:widowControl w:val="0"/>
        <w:autoSpaceDE w:val="0"/>
        <w:autoSpaceDN w:val="0"/>
        <w:adjustRightInd w:val="0"/>
        <w:ind w:left="640" w:hanging="640"/>
        <w:jc w:val="both"/>
        <w:rPr>
          <w:noProof/>
        </w:rPr>
      </w:pPr>
      <w:r w:rsidRPr="007803EA">
        <w:rPr>
          <w:noProof/>
        </w:rPr>
        <w:t>[7]</w:t>
      </w:r>
      <w:r w:rsidRPr="007803EA">
        <w:rPr>
          <w:noProof/>
        </w:rPr>
        <w:tab/>
        <w:t xml:space="preserve">K. Shimada, “The Role of Artificial Intelligence in Mental Health: A Review,” </w:t>
      </w:r>
      <w:r w:rsidRPr="007803EA">
        <w:rPr>
          <w:i/>
          <w:iCs/>
          <w:noProof/>
        </w:rPr>
        <w:t>Sci. Insights</w:t>
      </w:r>
      <w:r w:rsidRPr="007803EA">
        <w:rPr>
          <w:noProof/>
        </w:rPr>
        <w:t>, vol. 43, no. 5, pp. 1119–1127, 2023, doi: 10.15354/si.23.re820.</w:t>
      </w:r>
    </w:p>
    <w:p w14:paraId="4879936C" w14:textId="77777777" w:rsidR="007803EA" w:rsidRPr="007803EA" w:rsidRDefault="007803EA" w:rsidP="007803EA">
      <w:pPr>
        <w:widowControl w:val="0"/>
        <w:autoSpaceDE w:val="0"/>
        <w:autoSpaceDN w:val="0"/>
        <w:adjustRightInd w:val="0"/>
        <w:ind w:left="640" w:hanging="640"/>
        <w:jc w:val="both"/>
        <w:rPr>
          <w:noProof/>
        </w:rPr>
      </w:pPr>
      <w:r w:rsidRPr="007803EA">
        <w:rPr>
          <w:noProof/>
        </w:rPr>
        <w:t>[8]</w:t>
      </w:r>
      <w:r w:rsidRPr="007803EA">
        <w:rPr>
          <w:noProof/>
        </w:rPr>
        <w:tab/>
        <w:t xml:space="preserve">U. S. Reddy, A. V. Thota, and A. Dharun, “Machine Learning Techniques for Stress Prediction in Working Employees,” </w:t>
      </w:r>
      <w:r w:rsidRPr="007803EA">
        <w:rPr>
          <w:i/>
          <w:iCs/>
          <w:noProof/>
        </w:rPr>
        <w:t>2018 IEEE Int. Conf. Comput. Intell. Comput. Res. ICCIC 2018</w:t>
      </w:r>
      <w:r w:rsidRPr="007803EA">
        <w:rPr>
          <w:noProof/>
        </w:rPr>
        <w:t>, no. June, 2018, doi: 10.1109/ICCIC.2018.8782395.</w:t>
      </w:r>
    </w:p>
    <w:p w14:paraId="7B198247" w14:textId="77777777" w:rsidR="007803EA" w:rsidRPr="007803EA" w:rsidRDefault="007803EA" w:rsidP="007803EA">
      <w:pPr>
        <w:widowControl w:val="0"/>
        <w:autoSpaceDE w:val="0"/>
        <w:autoSpaceDN w:val="0"/>
        <w:adjustRightInd w:val="0"/>
        <w:ind w:left="640" w:hanging="640"/>
        <w:jc w:val="both"/>
        <w:rPr>
          <w:noProof/>
        </w:rPr>
      </w:pPr>
      <w:r w:rsidRPr="007803EA">
        <w:rPr>
          <w:noProof/>
        </w:rPr>
        <w:t>[9]</w:t>
      </w:r>
      <w:r w:rsidRPr="007803EA">
        <w:rPr>
          <w:noProof/>
        </w:rPr>
        <w:tab/>
        <w:t xml:space="preserve">M. Wilckens and M. Hall, “Can Well-Being Be Predicted? A Machine Learning Approach,” </w:t>
      </w:r>
      <w:r w:rsidRPr="007803EA">
        <w:rPr>
          <w:i/>
          <w:iCs/>
          <w:noProof/>
        </w:rPr>
        <w:t>SSRN Electron. J.</w:t>
      </w:r>
      <w:r w:rsidRPr="007803EA">
        <w:rPr>
          <w:noProof/>
        </w:rPr>
        <w:t>, no. December, 2015, doi: 10.2139/ssrn.2562051.</w:t>
      </w:r>
    </w:p>
    <w:p w14:paraId="1CA7DB27" w14:textId="77777777" w:rsidR="007803EA" w:rsidRPr="007803EA" w:rsidRDefault="007803EA" w:rsidP="007803EA">
      <w:pPr>
        <w:widowControl w:val="0"/>
        <w:autoSpaceDE w:val="0"/>
        <w:autoSpaceDN w:val="0"/>
        <w:adjustRightInd w:val="0"/>
        <w:ind w:left="640" w:hanging="640"/>
        <w:jc w:val="both"/>
        <w:rPr>
          <w:noProof/>
        </w:rPr>
      </w:pPr>
      <w:r w:rsidRPr="007803EA">
        <w:rPr>
          <w:noProof/>
        </w:rPr>
        <w:t>[10]</w:t>
      </w:r>
      <w:r w:rsidRPr="007803EA">
        <w:rPr>
          <w:noProof/>
        </w:rPr>
        <w:tab/>
        <w:t xml:space="preserve">Z. Ahmed, K. Mohamed, S. Zeeshan, and X. Q. Dong, “Artificial intelligence with multi-functional machine learning platform development for better healthcare and precision medicine,” </w:t>
      </w:r>
      <w:r w:rsidRPr="007803EA">
        <w:rPr>
          <w:i/>
          <w:iCs/>
          <w:noProof/>
        </w:rPr>
        <w:t>Database</w:t>
      </w:r>
      <w:r w:rsidRPr="007803EA">
        <w:rPr>
          <w:noProof/>
        </w:rPr>
        <w:t>, vol. 2020, pp. 1–35, 2020, doi: 10.1093/database/baaa010.</w:t>
      </w:r>
    </w:p>
    <w:p w14:paraId="6E8F164C" w14:textId="77777777" w:rsidR="007803EA" w:rsidRPr="007803EA" w:rsidRDefault="007803EA" w:rsidP="007803EA">
      <w:pPr>
        <w:widowControl w:val="0"/>
        <w:autoSpaceDE w:val="0"/>
        <w:autoSpaceDN w:val="0"/>
        <w:adjustRightInd w:val="0"/>
        <w:ind w:left="640" w:hanging="640"/>
        <w:jc w:val="both"/>
        <w:rPr>
          <w:noProof/>
        </w:rPr>
      </w:pPr>
      <w:r w:rsidRPr="007803EA">
        <w:rPr>
          <w:noProof/>
        </w:rPr>
        <w:t>[11]</w:t>
      </w:r>
      <w:r w:rsidRPr="007803EA">
        <w:rPr>
          <w:noProof/>
        </w:rPr>
        <w:tab/>
        <w:t xml:space="preserve">E. Oparina </w:t>
      </w:r>
      <w:r w:rsidRPr="007803EA">
        <w:rPr>
          <w:i/>
          <w:iCs/>
          <w:noProof/>
        </w:rPr>
        <w:t>et al.</w:t>
      </w:r>
      <w:r w:rsidRPr="007803EA">
        <w:rPr>
          <w:noProof/>
        </w:rPr>
        <w:t>, “Human Wellbeing and Machine Learning,” pp. 1–33, 2022, [Online]. Available: http://arxiv.org/abs/2206.00574</w:t>
      </w:r>
    </w:p>
    <w:p w14:paraId="0257451E" w14:textId="77777777" w:rsidR="007803EA" w:rsidRPr="007803EA" w:rsidRDefault="007803EA" w:rsidP="007803EA">
      <w:pPr>
        <w:widowControl w:val="0"/>
        <w:autoSpaceDE w:val="0"/>
        <w:autoSpaceDN w:val="0"/>
        <w:adjustRightInd w:val="0"/>
        <w:ind w:left="640" w:hanging="640"/>
        <w:jc w:val="both"/>
        <w:rPr>
          <w:noProof/>
        </w:rPr>
      </w:pPr>
      <w:r w:rsidRPr="007803EA">
        <w:rPr>
          <w:noProof/>
        </w:rPr>
        <w:t>[12]</w:t>
      </w:r>
      <w:r w:rsidRPr="007803EA">
        <w:rPr>
          <w:noProof/>
        </w:rPr>
        <w:tab/>
        <w:t xml:space="preserve">H. Abdul Rahman </w:t>
      </w:r>
      <w:r w:rsidRPr="007803EA">
        <w:rPr>
          <w:i/>
          <w:iCs/>
          <w:noProof/>
        </w:rPr>
        <w:t>et al.</w:t>
      </w:r>
      <w:r w:rsidRPr="007803EA">
        <w:rPr>
          <w:noProof/>
        </w:rPr>
        <w:t xml:space="preserve">, “Machine Learning-Based Prediction of Mental Well-Being Using Health Behavior Data from University Students,” </w:t>
      </w:r>
      <w:r w:rsidRPr="007803EA">
        <w:rPr>
          <w:i/>
          <w:iCs/>
          <w:noProof/>
        </w:rPr>
        <w:t>Bioengineering</w:t>
      </w:r>
      <w:r w:rsidRPr="007803EA">
        <w:rPr>
          <w:noProof/>
        </w:rPr>
        <w:t xml:space="preserve">, vol. 10, no. 5, pp. 1–13, 2023, doi: </w:t>
      </w:r>
      <w:r w:rsidRPr="007803EA">
        <w:rPr>
          <w:noProof/>
        </w:rPr>
        <w:lastRenderedPageBreak/>
        <w:t>10.3390/bioengineering10050575.</w:t>
      </w:r>
    </w:p>
    <w:p w14:paraId="69034BC4" w14:textId="77777777" w:rsidR="007803EA" w:rsidRPr="007803EA" w:rsidRDefault="007803EA" w:rsidP="007803EA">
      <w:pPr>
        <w:widowControl w:val="0"/>
        <w:autoSpaceDE w:val="0"/>
        <w:autoSpaceDN w:val="0"/>
        <w:adjustRightInd w:val="0"/>
        <w:ind w:left="640" w:hanging="640"/>
        <w:jc w:val="both"/>
        <w:rPr>
          <w:noProof/>
        </w:rPr>
      </w:pPr>
      <w:r w:rsidRPr="007803EA">
        <w:rPr>
          <w:noProof/>
        </w:rPr>
        <w:t>[13]</w:t>
      </w:r>
      <w:r w:rsidRPr="007803EA">
        <w:rPr>
          <w:noProof/>
        </w:rPr>
        <w:tab/>
        <w:t xml:space="preserve">M. Javaid, A. Haleem, R. Pratap Singh, R. Suman, and S. Rab, “Significance of machine learning in healthcare: Features, pillars and applications,” </w:t>
      </w:r>
      <w:r w:rsidRPr="007803EA">
        <w:rPr>
          <w:i/>
          <w:iCs/>
          <w:noProof/>
        </w:rPr>
        <w:t>Int. J. Intell. Networks</w:t>
      </w:r>
      <w:r w:rsidRPr="007803EA">
        <w:rPr>
          <w:noProof/>
        </w:rPr>
        <w:t>, vol. 3, no. February, pp. 58–73, 2022, doi: 10.1016/j.ijin.2022.05.002.</w:t>
      </w:r>
    </w:p>
    <w:p w14:paraId="3E7E7D11" w14:textId="77777777" w:rsidR="007803EA" w:rsidRPr="007803EA" w:rsidRDefault="007803EA" w:rsidP="007803EA">
      <w:pPr>
        <w:widowControl w:val="0"/>
        <w:autoSpaceDE w:val="0"/>
        <w:autoSpaceDN w:val="0"/>
        <w:adjustRightInd w:val="0"/>
        <w:ind w:left="640" w:hanging="640"/>
        <w:jc w:val="both"/>
        <w:rPr>
          <w:noProof/>
        </w:rPr>
      </w:pPr>
      <w:r w:rsidRPr="007803EA">
        <w:rPr>
          <w:noProof/>
        </w:rPr>
        <w:t>[14]</w:t>
      </w:r>
      <w:r w:rsidRPr="007803EA">
        <w:rPr>
          <w:noProof/>
        </w:rPr>
        <w:tab/>
        <w:t xml:space="preserve">A. Priya, S. Garg, and N. P. Tigga, “Predicting Anxiety, Depression and Stress in Modern Life using Machine Learning Algorithms,” </w:t>
      </w:r>
      <w:r w:rsidRPr="007803EA">
        <w:rPr>
          <w:i/>
          <w:iCs/>
          <w:noProof/>
        </w:rPr>
        <w:t>Procedia Comput. Sci.</w:t>
      </w:r>
      <w:r w:rsidRPr="007803EA">
        <w:rPr>
          <w:noProof/>
        </w:rPr>
        <w:t>, vol. 167, no. 2019, pp. 1258–1267, 2020, doi: 10.1016/j.procs.2020.03.442.</w:t>
      </w:r>
    </w:p>
    <w:p w14:paraId="1590BE02" w14:textId="77777777" w:rsidR="007803EA" w:rsidRPr="007803EA" w:rsidRDefault="007803EA" w:rsidP="007803EA">
      <w:pPr>
        <w:widowControl w:val="0"/>
        <w:autoSpaceDE w:val="0"/>
        <w:autoSpaceDN w:val="0"/>
        <w:adjustRightInd w:val="0"/>
        <w:ind w:left="640" w:hanging="640"/>
        <w:jc w:val="both"/>
        <w:rPr>
          <w:noProof/>
        </w:rPr>
      </w:pPr>
      <w:r w:rsidRPr="007803EA">
        <w:rPr>
          <w:noProof/>
        </w:rPr>
        <w:t>[15]</w:t>
      </w:r>
      <w:r w:rsidRPr="007803EA">
        <w:rPr>
          <w:noProof/>
        </w:rPr>
        <w:tab/>
        <w:t xml:space="preserve">P. F. Lovibond, S. H., &amp; Lovibond, “Depression anxiety stress scales,” </w:t>
      </w:r>
      <w:r w:rsidRPr="007803EA">
        <w:rPr>
          <w:i/>
          <w:iCs/>
          <w:noProof/>
        </w:rPr>
        <w:t>Psychol. Assess.</w:t>
      </w:r>
      <w:r w:rsidRPr="007803EA">
        <w:rPr>
          <w:noProof/>
        </w:rPr>
        <w:t>, 1995.</w:t>
      </w:r>
    </w:p>
    <w:p w14:paraId="6CD61B7B" w14:textId="77777777" w:rsidR="007803EA" w:rsidRPr="007803EA" w:rsidRDefault="007803EA" w:rsidP="007803EA">
      <w:pPr>
        <w:widowControl w:val="0"/>
        <w:autoSpaceDE w:val="0"/>
        <w:autoSpaceDN w:val="0"/>
        <w:adjustRightInd w:val="0"/>
        <w:ind w:left="640" w:hanging="640"/>
        <w:jc w:val="both"/>
        <w:rPr>
          <w:noProof/>
        </w:rPr>
      </w:pPr>
      <w:r w:rsidRPr="007803EA">
        <w:rPr>
          <w:noProof/>
        </w:rPr>
        <w:t>[16]</w:t>
      </w:r>
      <w:r w:rsidRPr="007803EA">
        <w:rPr>
          <w:noProof/>
        </w:rPr>
        <w:tab/>
        <w:t xml:space="preserve">S. H. Lovibond, P. F., &amp; Lovibond, “The structure of negative emotional states: Comparison of the Depression Anxiety Stress Scales (DASS) with the Beck Depression and Anxiety Inventories,” </w:t>
      </w:r>
      <w:r w:rsidRPr="007803EA">
        <w:rPr>
          <w:i/>
          <w:iCs/>
          <w:noProof/>
        </w:rPr>
        <w:t>Behav. Res. Ther.</w:t>
      </w:r>
      <w:r w:rsidRPr="007803EA">
        <w:rPr>
          <w:noProof/>
        </w:rPr>
        <w:t>, vol. 33, no. 3, pp. 335–343, 1995.</w:t>
      </w:r>
    </w:p>
    <w:p w14:paraId="6CE925D5" w14:textId="77777777" w:rsidR="007803EA" w:rsidRPr="007803EA" w:rsidRDefault="007803EA" w:rsidP="007803EA">
      <w:pPr>
        <w:widowControl w:val="0"/>
        <w:autoSpaceDE w:val="0"/>
        <w:autoSpaceDN w:val="0"/>
        <w:adjustRightInd w:val="0"/>
        <w:ind w:left="640" w:hanging="640"/>
        <w:jc w:val="both"/>
        <w:rPr>
          <w:noProof/>
        </w:rPr>
      </w:pPr>
      <w:r w:rsidRPr="007803EA">
        <w:rPr>
          <w:noProof/>
        </w:rPr>
        <w:t>[17]</w:t>
      </w:r>
      <w:r w:rsidRPr="007803EA">
        <w:rPr>
          <w:noProof/>
        </w:rPr>
        <w:tab/>
        <w:t xml:space="preserve">D. S. Spielberger, C. D., Gonzalez-Reigosa, F., Martinez-Urrutia, A., Natalicio, L. F., &amp; Natalicio, “The state-trait anxiety inventory,” </w:t>
      </w:r>
      <w:r w:rsidRPr="007803EA">
        <w:rPr>
          <w:i/>
          <w:iCs/>
          <w:noProof/>
        </w:rPr>
        <w:t>Rev. Interam. Psicol. J. Psychol.</w:t>
      </w:r>
      <w:r w:rsidRPr="007803EA">
        <w:rPr>
          <w:noProof/>
        </w:rPr>
        <w:t>, vol. 5, no. 3, 1971.</w:t>
      </w:r>
    </w:p>
    <w:p w14:paraId="475D48CD" w14:textId="77777777" w:rsidR="007803EA" w:rsidRPr="007803EA" w:rsidRDefault="007803EA" w:rsidP="007803EA">
      <w:pPr>
        <w:widowControl w:val="0"/>
        <w:autoSpaceDE w:val="0"/>
        <w:autoSpaceDN w:val="0"/>
        <w:adjustRightInd w:val="0"/>
        <w:ind w:left="640" w:hanging="640"/>
        <w:jc w:val="both"/>
        <w:rPr>
          <w:noProof/>
        </w:rPr>
      </w:pPr>
      <w:r w:rsidRPr="007803EA">
        <w:rPr>
          <w:noProof/>
        </w:rPr>
        <w:t>[18]</w:t>
      </w:r>
      <w:r w:rsidRPr="007803EA">
        <w:rPr>
          <w:noProof/>
        </w:rPr>
        <w:tab/>
        <w:t xml:space="preserve">S. Barnett, M. L., Sheldrick, R. C., Liu, S. R., Kia-Keating, M., &amp; Negriff, “Implications of adverse childhood experiences screening on behavioral health services: A scoping review and systems modeling analysis,” </w:t>
      </w:r>
      <w:r w:rsidRPr="007803EA">
        <w:rPr>
          <w:i/>
          <w:iCs/>
          <w:noProof/>
        </w:rPr>
        <w:t>Am. Psychol.</w:t>
      </w:r>
      <w:r w:rsidRPr="007803EA">
        <w:rPr>
          <w:noProof/>
        </w:rPr>
        <w:t>, vol. 76, no. 2, p. 364, 2021.</w:t>
      </w:r>
    </w:p>
    <w:p w14:paraId="60BEB404" w14:textId="77777777" w:rsidR="007803EA" w:rsidRPr="007803EA" w:rsidRDefault="007803EA" w:rsidP="007803EA">
      <w:pPr>
        <w:widowControl w:val="0"/>
        <w:autoSpaceDE w:val="0"/>
        <w:autoSpaceDN w:val="0"/>
        <w:adjustRightInd w:val="0"/>
        <w:ind w:left="640" w:hanging="640"/>
        <w:jc w:val="both"/>
        <w:rPr>
          <w:noProof/>
        </w:rPr>
      </w:pPr>
      <w:r w:rsidRPr="007803EA">
        <w:rPr>
          <w:noProof/>
        </w:rPr>
        <w:t>[19]</w:t>
      </w:r>
      <w:r w:rsidRPr="007803EA">
        <w:rPr>
          <w:noProof/>
        </w:rPr>
        <w:tab/>
        <w:t xml:space="preserve">I. R. Lina </w:t>
      </w:r>
      <w:r w:rsidRPr="007803EA">
        <w:rPr>
          <w:i/>
          <w:iCs/>
          <w:noProof/>
        </w:rPr>
        <w:t>et al.</w:t>
      </w:r>
      <w:r w:rsidRPr="007803EA">
        <w:rPr>
          <w:noProof/>
        </w:rPr>
        <w:t>, “Jurnal Computer Science and Information Technology ( CoSciTech ) Metode K-Nearest Neighbor Berbasis Forward Selection untuk Identifikasi Status Stunting pada K-Nearest Neighbor Method Based on Forward Selection to Identify Stunting Status in Toddlers,” vol. 5, no. 3, pp. 695–704, 2024.</w:t>
      </w:r>
    </w:p>
    <w:p w14:paraId="0F0CEB9A" w14:textId="77777777" w:rsidR="007803EA" w:rsidRPr="007803EA" w:rsidRDefault="007803EA" w:rsidP="007803EA">
      <w:pPr>
        <w:widowControl w:val="0"/>
        <w:autoSpaceDE w:val="0"/>
        <w:autoSpaceDN w:val="0"/>
        <w:adjustRightInd w:val="0"/>
        <w:ind w:left="640" w:hanging="640"/>
        <w:jc w:val="both"/>
        <w:rPr>
          <w:noProof/>
        </w:rPr>
      </w:pPr>
      <w:r w:rsidRPr="007803EA">
        <w:rPr>
          <w:noProof/>
        </w:rPr>
        <w:t>[20]</w:t>
      </w:r>
      <w:r w:rsidRPr="007803EA">
        <w:rPr>
          <w:noProof/>
        </w:rPr>
        <w:tab/>
        <w:t xml:space="preserve">S. Aisyah, “Loan Status Prediction Using Decision Tree Classifier,” </w:t>
      </w:r>
      <w:r w:rsidRPr="007803EA">
        <w:rPr>
          <w:i/>
          <w:iCs/>
          <w:noProof/>
        </w:rPr>
        <w:t>Power Elektron.  J. Orang Elektro</w:t>
      </w:r>
      <w:r w:rsidRPr="007803EA">
        <w:rPr>
          <w:noProof/>
        </w:rPr>
        <w:t>, vol. 13, no. 1, pp. 68–70, 2024, doi: 10.30591/polektro.v12i3.6591.</w:t>
      </w:r>
    </w:p>
    <w:p w14:paraId="0FAB5F5F" w14:textId="023B0BE7" w:rsidR="00C35B8F" w:rsidRPr="003D5B84" w:rsidRDefault="00951FC6" w:rsidP="0033719B">
      <w:pPr>
        <w:rPr>
          <w:color w:val="000000"/>
          <w:lang w:val="pt-BR"/>
        </w:rPr>
      </w:pPr>
      <w:r>
        <w:rPr>
          <w:rStyle w:val="apple-style-span"/>
          <w:b/>
          <w:color w:val="000000"/>
          <w:lang w:val="pt-BR"/>
        </w:rPr>
        <w:fldChar w:fldCharType="end"/>
      </w:r>
      <w:r w:rsidR="00F33C08">
        <w:rPr>
          <w:rStyle w:val="apple-style-span"/>
          <w:b/>
          <w:color w:val="000000"/>
          <w:lang w:val="pt-BR"/>
        </w:rPr>
        <w:t xml:space="preserve"> </w:t>
      </w:r>
    </w:p>
    <w:p w14:paraId="065032D3" w14:textId="77777777" w:rsidR="00231A19" w:rsidRDefault="00231A19" w:rsidP="0033719B">
      <w:pPr>
        <w:jc w:val="both"/>
        <w:rPr>
          <w:color w:val="000000"/>
          <w:sz w:val="18"/>
          <w:szCs w:val="18"/>
        </w:rPr>
      </w:pPr>
    </w:p>
    <w:p w14:paraId="4DBA8B0A" w14:textId="0EB7AD67" w:rsidR="00231A19" w:rsidRDefault="00F33C08" w:rsidP="0033719B">
      <w:pPr>
        <w:rPr>
          <w:b/>
          <w:bCs/>
        </w:rPr>
      </w:pPr>
      <w:r>
        <w:rPr>
          <w:rStyle w:val="apple-style-span"/>
          <w:b/>
          <w:color w:val="000000"/>
          <w:lang w:val="pt-BR"/>
        </w:rPr>
        <w:t xml:space="preserve">BIBLIOGRAPHY OF AUTHORS </w:t>
      </w:r>
    </w:p>
    <w:p w14:paraId="0874D5EE" w14:textId="77777777" w:rsidR="00231A19" w:rsidRDefault="00231A19" w:rsidP="0033719B">
      <w:pPr>
        <w:rPr>
          <w:b/>
          <w:bCs/>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6"/>
      </w:tblGrid>
      <w:tr w:rsidR="00231A19" w:rsidRPr="002476AC" w14:paraId="2F5BBE6C" w14:textId="77777777" w:rsidTr="004E4AE2">
        <w:tc>
          <w:tcPr>
            <w:tcW w:w="2093" w:type="dxa"/>
          </w:tcPr>
          <w:p w14:paraId="053FB008" w14:textId="77777777" w:rsidR="00231A19" w:rsidRPr="002476AC" w:rsidRDefault="00231A19" w:rsidP="0033719B">
            <w:pPr>
              <w:rPr>
                <w:color w:val="000000"/>
                <w:sz w:val="18"/>
                <w:szCs w:val="18"/>
                <w:lang w:val="pt-BR"/>
              </w:rPr>
            </w:pPr>
          </w:p>
          <w:p w14:paraId="0BECD094" w14:textId="77777777" w:rsidR="00231A19" w:rsidRDefault="00951FC6" w:rsidP="0033719B">
            <w:pPr>
              <w:jc w:val="center"/>
              <w:rPr>
                <w:color w:val="000000"/>
                <w:sz w:val="18"/>
                <w:szCs w:val="18"/>
                <w:lang w:val="pt-BR"/>
              </w:rPr>
            </w:pPr>
            <w:r>
              <w:rPr>
                <w:b/>
                <w:bCs/>
                <w:noProof/>
                <w:lang w:val="es-ES" w:eastAsia="es-ES"/>
              </w:rPr>
              <w:drawing>
                <wp:inline distT="0" distB="0" distL="0" distR="0" wp14:anchorId="18258C38" wp14:editId="5E95D0C0">
                  <wp:extent cx="1080000" cy="1440000"/>
                  <wp:effectExtent l="0" t="0" r="0" b="0"/>
                  <wp:docPr id="31376410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764109" name="Picture 4"/>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p w14:paraId="4D151E16" w14:textId="3313C2D1" w:rsidR="00951FC6" w:rsidRPr="002476AC" w:rsidRDefault="00951FC6" w:rsidP="0033719B">
            <w:pPr>
              <w:jc w:val="center"/>
              <w:rPr>
                <w:color w:val="000000"/>
                <w:sz w:val="18"/>
                <w:szCs w:val="18"/>
                <w:lang w:val="pt-BR"/>
              </w:rPr>
            </w:pPr>
          </w:p>
        </w:tc>
        <w:tc>
          <w:tcPr>
            <w:tcW w:w="7226" w:type="dxa"/>
          </w:tcPr>
          <w:p w14:paraId="55C9AA76" w14:textId="60338FF7" w:rsidR="00231A19" w:rsidRPr="002476AC" w:rsidRDefault="0098542D" w:rsidP="0098542D">
            <w:pPr>
              <w:jc w:val="both"/>
              <w:rPr>
                <w:color w:val="000000"/>
                <w:sz w:val="18"/>
                <w:szCs w:val="18"/>
                <w:lang w:val="pt-BR"/>
              </w:rPr>
            </w:pPr>
            <w:r>
              <w:rPr>
                <w:color w:val="000000"/>
                <w:sz w:val="18"/>
                <w:szCs w:val="18"/>
              </w:rPr>
              <w:t>S</w:t>
            </w:r>
            <w:r w:rsidRPr="0098542D">
              <w:rPr>
                <w:color w:val="000000"/>
                <w:sz w:val="18"/>
                <w:szCs w:val="18"/>
              </w:rPr>
              <w:t xml:space="preserve">ri </w:t>
            </w:r>
            <w:proofErr w:type="spellStart"/>
            <w:r w:rsidRPr="0098542D">
              <w:rPr>
                <w:color w:val="000000"/>
                <w:sz w:val="18"/>
                <w:szCs w:val="18"/>
              </w:rPr>
              <w:t>Retnowati</w:t>
            </w:r>
            <w:proofErr w:type="spellEnd"/>
            <w:r w:rsidRPr="0098542D">
              <w:rPr>
                <w:color w:val="000000"/>
                <w:sz w:val="18"/>
                <w:szCs w:val="18"/>
              </w:rPr>
              <w:t xml:space="preserve">, a lecturer at Universitas </w:t>
            </w:r>
            <w:proofErr w:type="spellStart"/>
            <w:r w:rsidRPr="0098542D">
              <w:rPr>
                <w:color w:val="000000"/>
                <w:sz w:val="18"/>
                <w:szCs w:val="18"/>
              </w:rPr>
              <w:t>Insan</w:t>
            </w:r>
            <w:proofErr w:type="spellEnd"/>
            <w:r w:rsidRPr="0098542D">
              <w:rPr>
                <w:color w:val="000000"/>
                <w:sz w:val="18"/>
                <w:szCs w:val="18"/>
              </w:rPr>
              <w:t xml:space="preserve"> Cita Indonesia. She holds a Master of Mathematics Education from Universitas </w:t>
            </w:r>
            <w:proofErr w:type="spellStart"/>
            <w:r w:rsidRPr="0098542D">
              <w:rPr>
                <w:color w:val="000000"/>
                <w:sz w:val="18"/>
                <w:szCs w:val="18"/>
              </w:rPr>
              <w:t>Sebelas</w:t>
            </w:r>
            <w:proofErr w:type="spellEnd"/>
            <w:r w:rsidRPr="0098542D">
              <w:rPr>
                <w:color w:val="000000"/>
                <w:sz w:val="18"/>
                <w:szCs w:val="18"/>
              </w:rPr>
              <w:t xml:space="preserve"> Maret, and a Bachelor of Mathematics Education from Universitas Muhammadiyah </w:t>
            </w:r>
            <w:proofErr w:type="spellStart"/>
            <w:r w:rsidRPr="0098542D">
              <w:rPr>
                <w:color w:val="000000"/>
                <w:sz w:val="18"/>
                <w:szCs w:val="18"/>
              </w:rPr>
              <w:t>Purworejo</w:t>
            </w:r>
            <w:proofErr w:type="spellEnd"/>
            <w:r w:rsidRPr="0098542D">
              <w:rPr>
                <w:color w:val="000000"/>
                <w:sz w:val="18"/>
                <w:szCs w:val="18"/>
              </w:rPr>
              <w:t>. The author has conducted research in machine learning.</w:t>
            </w:r>
          </w:p>
          <w:p w14:paraId="349D593E" w14:textId="77777777" w:rsidR="00231A19" w:rsidRPr="002476AC" w:rsidRDefault="00231A19" w:rsidP="0033719B">
            <w:pPr>
              <w:rPr>
                <w:color w:val="000000"/>
                <w:sz w:val="18"/>
                <w:szCs w:val="18"/>
                <w:lang w:val="pt-BR"/>
              </w:rPr>
            </w:pPr>
          </w:p>
          <w:p w14:paraId="13757A57" w14:textId="77777777" w:rsidR="00231A19" w:rsidRPr="002476AC" w:rsidRDefault="00231A19" w:rsidP="0033719B">
            <w:pPr>
              <w:rPr>
                <w:color w:val="000000"/>
                <w:sz w:val="18"/>
                <w:szCs w:val="18"/>
                <w:lang w:val="pt-BR"/>
              </w:rPr>
            </w:pPr>
          </w:p>
          <w:p w14:paraId="1CE314C7" w14:textId="77777777" w:rsidR="00231A19" w:rsidRPr="002476AC" w:rsidRDefault="00231A19" w:rsidP="0033719B">
            <w:pPr>
              <w:rPr>
                <w:color w:val="000000"/>
                <w:sz w:val="18"/>
                <w:szCs w:val="18"/>
                <w:lang w:val="pt-BR"/>
              </w:rPr>
            </w:pPr>
          </w:p>
          <w:p w14:paraId="4EA0E079" w14:textId="77777777" w:rsidR="00A47AD5" w:rsidRPr="002476AC" w:rsidRDefault="00A47AD5" w:rsidP="0033719B">
            <w:pPr>
              <w:rPr>
                <w:color w:val="000000"/>
                <w:sz w:val="18"/>
                <w:szCs w:val="18"/>
                <w:lang w:val="pt-BR"/>
              </w:rPr>
            </w:pPr>
          </w:p>
          <w:p w14:paraId="0CD0550E" w14:textId="77777777" w:rsidR="00A47AD5" w:rsidRPr="002476AC" w:rsidRDefault="00A47AD5" w:rsidP="0033719B">
            <w:pPr>
              <w:rPr>
                <w:color w:val="000000"/>
                <w:sz w:val="18"/>
                <w:szCs w:val="18"/>
                <w:lang w:val="pt-BR"/>
              </w:rPr>
            </w:pPr>
          </w:p>
        </w:tc>
      </w:tr>
      <w:tr w:rsidR="00231A19" w:rsidRPr="002476AC" w14:paraId="279A74F6" w14:textId="77777777" w:rsidTr="004E4AE2">
        <w:tc>
          <w:tcPr>
            <w:tcW w:w="2093" w:type="dxa"/>
          </w:tcPr>
          <w:p w14:paraId="7A64FB19" w14:textId="77777777" w:rsidR="00231A19" w:rsidRPr="002476AC" w:rsidRDefault="00231A19" w:rsidP="0033719B">
            <w:pPr>
              <w:rPr>
                <w:color w:val="000000"/>
                <w:sz w:val="18"/>
                <w:szCs w:val="18"/>
                <w:lang w:val="pt-BR"/>
              </w:rPr>
            </w:pPr>
          </w:p>
          <w:p w14:paraId="56B7E882" w14:textId="2F6431A6" w:rsidR="00231A19" w:rsidRPr="002476AC" w:rsidRDefault="004E4AE2" w:rsidP="0033719B">
            <w:pPr>
              <w:jc w:val="center"/>
              <w:rPr>
                <w:color w:val="000000"/>
                <w:sz w:val="18"/>
                <w:szCs w:val="18"/>
                <w:lang w:val="pt-BR"/>
              </w:rPr>
            </w:pPr>
            <w:r>
              <w:rPr>
                <w:noProof/>
                <w:color w:val="000000"/>
                <w:sz w:val="18"/>
                <w:szCs w:val="18"/>
                <w:lang w:val="pt-BR"/>
              </w:rPr>
              <w:drawing>
                <wp:inline distT="0" distB="0" distL="0" distR="0" wp14:anchorId="31D1679A" wp14:editId="7FB18D56">
                  <wp:extent cx="1080000" cy="1440000"/>
                  <wp:effectExtent l="0" t="0" r="0" b="0"/>
                  <wp:docPr id="6815038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1503812" name="Picture 681503812"/>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p w14:paraId="685F9499" w14:textId="77777777" w:rsidR="00231A19" w:rsidRPr="002476AC" w:rsidRDefault="00231A19" w:rsidP="0033719B">
            <w:pPr>
              <w:jc w:val="center"/>
              <w:rPr>
                <w:color w:val="000000"/>
                <w:sz w:val="18"/>
                <w:szCs w:val="18"/>
                <w:lang w:val="pt-BR"/>
              </w:rPr>
            </w:pPr>
          </w:p>
        </w:tc>
        <w:tc>
          <w:tcPr>
            <w:tcW w:w="7226" w:type="dxa"/>
          </w:tcPr>
          <w:p w14:paraId="3776AE94" w14:textId="166D2184" w:rsidR="00F33C08" w:rsidRPr="002476AC" w:rsidRDefault="004E4AE2" w:rsidP="004E4AE2">
            <w:pPr>
              <w:jc w:val="both"/>
              <w:rPr>
                <w:color w:val="000000"/>
                <w:sz w:val="18"/>
                <w:szCs w:val="18"/>
                <w:lang w:val="pt-BR"/>
              </w:rPr>
            </w:pPr>
            <w:r w:rsidRPr="004E4AE2">
              <w:rPr>
                <w:color w:val="000000"/>
                <w:sz w:val="18"/>
                <w:szCs w:val="18"/>
                <w:lang w:val="pt-BR"/>
              </w:rPr>
              <w:t>Siti Aisyah,</w:t>
            </w:r>
            <w:r>
              <w:rPr>
                <w:color w:val="000000"/>
                <w:sz w:val="18"/>
                <w:szCs w:val="18"/>
                <w:lang w:val="pt-BR"/>
              </w:rPr>
              <w:t xml:space="preserve"> </w:t>
            </w:r>
            <w:r w:rsidRPr="004E4AE2">
              <w:rPr>
                <w:color w:val="000000"/>
                <w:sz w:val="18"/>
                <w:szCs w:val="18"/>
                <w:lang w:val="pt-BR"/>
              </w:rPr>
              <w:t>Bachelor in Informatics Engineering from Politeknik Negeri Jakarta ( PNJ)</w:t>
            </w:r>
            <w:r>
              <w:rPr>
                <w:color w:val="000000"/>
                <w:sz w:val="18"/>
                <w:szCs w:val="18"/>
                <w:lang w:val="pt-BR"/>
              </w:rPr>
              <w:t xml:space="preserve">. She holds a </w:t>
            </w:r>
            <w:r w:rsidRPr="004E4AE2">
              <w:rPr>
                <w:color w:val="000000"/>
                <w:sz w:val="18"/>
                <w:szCs w:val="18"/>
                <w:lang w:val="pt-BR"/>
              </w:rPr>
              <w:t>⁠Master of Big Data, University of Stirling , UK</w:t>
            </w:r>
            <w:r>
              <w:rPr>
                <w:color w:val="000000"/>
                <w:sz w:val="18"/>
                <w:szCs w:val="18"/>
                <w:lang w:val="pt-BR"/>
              </w:rPr>
              <w:t xml:space="preserve">. </w:t>
            </w:r>
            <w:r w:rsidRPr="004E4AE2">
              <w:rPr>
                <w:color w:val="000000"/>
                <w:sz w:val="18"/>
                <w:szCs w:val="18"/>
                <w:lang w:val="pt-BR"/>
              </w:rPr>
              <w:t>The author is interested in research about Machine Learning, Deep Learning and Big Data Analysis.</w:t>
            </w:r>
          </w:p>
          <w:p w14:paraId="5F142E05" w14:textId="77777777" w:rsidR="00F33C08" w:rsidRPr="002476AC" w:rsidRDefault="00F33C08" w:rsidP="0033719B">
            <w:pPr>
              <w:rPr>
                <w:color w:val="000000"/>
                <w:sz w:val="18"/>
                <w:szCs w:val="18"/>
                <w:lang w:val="pt-BR"/>
              </w:rPr>
            </w:pPr>
          </w:p>
          <w:p w14:paraId="24364FE2" w14:textId="77777777" w:rsidR="00F33C08" w:rsidRPr="002476AC" w:rsidRDefault="00F33C08" w:rsidP="0033719B">
            <w:pPr>
              <w:rPr>
                <w:color w:val="000000"/>
                <w:sz w:val="18"/>
                <w:szCs w:val="18"/>
                <w:lang w:val="pt-BR"/>
              </w:rPr>
            </w:pPr>
          </w:p>
          <w:p w14:paraId="52A35150" w14:textId="77777777" w:rsidR="00A47AD5" w:rsidRPr="002476AC" w:rsidRDefault="00A47AD5" w:rsidP="0033719B">
            <w:pPr>
              <w:rPr>
                <w:color w:val="000000"/>
                <w:sz w:val="18"/>
                <w:szCs w:val="18"/>
                <w:lang w:val="pt-BR"/>
              </w:rPr>
            </w:pPr>
          </w:p>
          <w:p w14:paraId="5E735D73" w14:textId="77777777" w:rsidR="00231A19" w:rsidRPr="002476AC" w:rsidRDefault="00231A19" w:rsidP="0033719B">
            <w:pPr>
              <w:rPr>
                <w:color w:val="000000"/>
                <w:sz w:val="18"/>
                <w:szCs w:val="18"/>
                <w:lang w:val="pt-BR"/>
              </w:rPr>
            </w:pPr>
          </w:p>
          <w:p w14:paraId="0AD4FA7E" w14:textId="77777777" w:rsidR="00A47AD5" w:rsidRPr="002476AC" w:rsidRDefault="00A47AD5" w:rsidP="0033719B">
            <w:pPr>
              <w:rPr>
                <w:color w:val="000000"/>
                <w:sz w:val="18"/>
                <w:szCs w:val="18"/>
                <w:lang w:val="pt-BR"/>
              </w:rPr>
            </w:pPr>
          </w:p>
        </w:tc>
      </w:tr>
    </w:tbl>
    <w:p w14:paraId="20451450" w14:textId="77777777" w:rsidR="00231A19" w:rsidRDefault="00231A19" w:rsidP="0033719B">
      <w:pPr>
        <w:jc w:val="both"/>
        <w:rPr>
          <w:color w:val="000000"/>
          <w:sz w:val="18"/>
          <w:szCs w:val="18"/>
        </w:rPr>
      </w:pPr>
    </w:p>
    <w:sectPr w:rsidR="00231A19" w:rsidSect="0033719B">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CDBA" w14:textId="77777777" w:rsidR="002D61B6" w:rsidRDefault="002D61B6">
      <w:r>
        <w:separator/>
      </w:r>
    </w:p>
  </w:endnote>
  <w:endnote w:type="continuationSeparator" w:id="0">
    <w:p w14:paraId="5CFCF1CF" w14:textId="77777777" w:rsidR="002D61B6" w:rsidRDefault="002D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tinus Serif">
    <w:altName w:val="Calibri"/>
    <w:panose1 w:val="00000000000000000000"/>
    <w:charset w:val="00"/>
    <w:family w:val="modern"/>
    <w:notTrueType/>
    <w:pitch w:val="variable"/>
    <w:sig w:usb0="E0000AFF" w:usb1="0200E5FB" w:usb2="00000020" w:usb3="00000000" w:csb0="000001B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3CA7" w14:textId="77777777" w:rsidR="00097958" w:rsidRPr="0033719B" w:rsidRDefault="00000000" w:rsidP="0033719B">
    <w:pPr>
      <w:pStyle w:val="Header"/>
      <w:tabs>
        <w:tab w:val="clear" w:pos="4320"/>
        <w:tab w:val="clear" w:pos="8640"/>
        <w:tab w:val="left" w:pos="2992"/>
      </w:tabs>
      <w:spacing w:before="240"/>
    </w:pPr>
    <w:r>
      <w:rPr>
        <w:noProof/>
      </w:rPr>
      <w:pict w14:anchorId="72B2213E">
        <v:line id="Line 3" o:spid="_x0000_s1034"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33719B">
      <w:t>I</w:t>
    </w:r>
    <w:r w:rsidR="0033719B">
      <w:rPr>
        <w:lang w:val="id-ID"/>
      </w:rPr>
      <w:t>JAIDM</w:t>
    </w:r>
    <w:r w:rsidR="0033719B" w:rsidRPr="003D5B84">
      <w:t xml:space="preserve">  Vol. </w:t>
    </w:r>
    <w:r w:rsidR="00C01111">
      <w:rPr>
        <w:lang w:val="id-ID"/>
      </w:rPr>
      <w:t>5</w:t>
    </w:r>
    <w:r w:rsidR="0033719B" w:rsidRPr="003D5B84">
      <w:t xml:space="preserve">, No. </w:t>
    </w:r>
    <w:r w:rsidR="0033719B">
      <w:t>1,</w:t>
    </w:r>
    <w:r w:rsidR="0033719B">
      <w:rPr>
        <w:lang w:val="id-ID"/>
      </w:rPr>
      <w:t xml:space="preserve"> </w:t>
    </w:r>
    <w:r w:rsidR="0033719B">
      <w:t>March 202</w:t>
    </w:r>
    <w:r w:rsidR="00C01111">
      <w:rPr>
        <w:lang w:val="id-ID"/>
      </w:rPr>
      <w:t>2</w:t>
    </w:r>
    <w:r w:rsidR="0033719B" w:rsidRPr="003D5B84">
      <w:t xml:space="preserve">:  </w:t>
    </w:r>
    <w:r w:rsidR="0033719B">
      <w:t>1</w:t>
    </w:r>
    <w:r w:rsidR="0033719B" w:rsidRPr="003D5B84">
      <w:t xml:space="preserve"> – </w:t>
    </w:r>
    <w:r w:rsidR="0033719B">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4412"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w:t>
    </w:r>
    <w:r w:rsidR="0033719B">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849C" w14:textId="77777777" w:rsidR="00097958" w:rsidRPr="0033719B" w:rsidRDefault="0033719B" w:rsidP="0033719B">
    <w:pPr>
      <w:pStyle w:val="Footer"/>
      <w:pBdr>
        <w:top w:val="single" w:sz="4" w:space="1" w:color="auto"/>
      </w:pBdr>
      <w:spacing w:before="240"/>
      <w:rPr>
        <w:i/>
        <w:szCs w:val="18"/>
        <w:lang w:val="id-ID"/>
      </w:rPr>
    </w:pPr>
    <w:r w:rsidRPr="00C854C1">
      <w:rPr>
        <w:b/>
        <w:i/>
        <w:szCs w:val="18"/>
      </w:rPr>
      <w:t xml:space="preserve">Journal </w:t>
    </w:r>
    <w:r w:rsidRPr="001B4E0E">
      <w:rPr>
        <w:b/>
        <w:i/>
        <w:szCs w:val="18"/>
      </w:rPr>
      <w:t xml:space="preserve">homepage: </w:t>
    </w:r>
    <w:r w:rsidRPr="001B4E0E">
      <w:rPr>
        <w:i/>
        <w:szCs w:val="18"/>
      </w:rPr>
      <w:t>http://ejournal.uin-suska.ac.id/index.php/IJAIDM/index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6CCD" w14:textId="77777777" w:rsidR="002D61B6" w:rsidRDefault="002D61B6">
      <w:r>
        <w:separator/>
      </w:r>
    </w:p>
  </w:footnote>
  <w:footnote w:type="continuationSeparator" w:id="0">
    <w:p w14:paraId="472B33CB" w14:textId="77777777" w:rsidR="002D61B6" w:rsidRDefault="002D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4452"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4</w:t>
    </w:r>
    <w:r w:rsidRPr="003D5B84">
      <w:rPr>
        <w:rStyle w:val="PageNumber"/>
      </w:rPr>
      <w:fldChar w:fldCharType="end"/>
    </w:r>
  </w:p>
  <w:p w14:paraId="27FFC319" w14:textId="77777777" w:rsidR="00097958" w:rsidRPr="0033719B" w:rsidRDefault="00000000" w:rsidP="0033719B">
    <w:pPr>
      <w:pStyle w:val="Header"/>
      <w:tabs>
        <w:tab w:val="clear" w:pos="4320"/>
        <w:tab w:val="clear" w:pos="8640"/>
        <w:tab w:val="right" w:pos="851"/>
        <w:tab w:val="left" w:pos="3405"/>
        <w:tab w:val="right" w:pos="8789"/>
      </w:tabs>
      <w:spacing w:after="240"/>
      <w:rPr>
        <w:lang w:val="id-ID"/>
      </w:rPr>
    </w:pPr>
    <w:r>
      <w:rPr>
        <w:noProof/>
      </w:rPr>
      <w:pict w14:anchorId="076CC444">
        <v:shapetype id="_x0000_t32" coordsize="21600,21600" o:spt="32" o:oned="t" path="m,l21600,21600e" filled="f">
          <v:path arrowok="t" fillok="f" o:connecttype="none"/>
          <o:lock v:ext="edit" shapetype="t"/>
        </v:shapetype>
        <v:shape id="AutoShape 7" o:spid="_x0000_s1033" type="#_x0000_t32" style="position:absolute;margin-left:1.85pt;margin-top:14.4pt;width:436.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ZE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JyRlkQfAgAAPQQAAA4AAAAAAAAAAAAAAAAALgIAAGRycy9lMm9Eb2MueG1sUEsBAi0A&#10;FAAGAAgAAAAhAN50ErzaAAAABwEAAA8AAAAAAAAAAAAAAAAAeQQAAGRycy9kb3ducmV2LnhtbFBL&#10;BQYAAAAABAAEAPMAAACABQAAAAA=&#10;" strokeweight="1pt"/>
      </w:pict>
    </w:r>
    <w:r w:rsidR="0033719B" w:rsidRPr="003D5B84">
      <w:t xml:space="preserve">     </w:t>
    </w:r>
    <w:r w:rsidR="0033719B" w:rsidRPr="003D5B84">
      <w:tab/>
    </w:r>
    <w:r w:rsidR="0033719B">
      <w:sym w:font="Wingdings" w:char="F072"/>
    </w:r>
    <w:r w:rsidR="0033719B" w:rsidRPr="003D5B84">
      <w:t xml:space="preserve"> </w:t>
    </w:r>
    <w:r w:rsidR="0033719B" w:rsidRPr="003D5B84">
      <w:tab/>
    </w:r>
    <w:r w:rsidR="0033719B" w:rsidRPr="003D5B84">
      <w:tab/>
      <w:t xml:space="preserve">       </w:t>
    </w:r>
    <w:r w:rsidR="0033719B" w:rsidRPr="001B4E0E">
      <w:t>p-ISSN: 2614-3372 | e-ISSN: 2614-6150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613F"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3</w:t>
    </w:r>
    <w:r w:rsidRPr="003D5B84">
      <w:rPr>
        <w:rStyle w:val="PageNumber"/>
      </w:rPr>
      <w:fldChar w:fldCharType="end"/>
    </w:r>
  </w:p>
  <w:p w14:paraId="3CA76230" w14:textId="77777777" w:rsidR="0033719B" w:rsidRPr="003D5B84" w:rsidRDefault="0033719B" w:rsidP="0033719B">
    <w:pPr>
      <w:pStyle w:val="Header"/>
      <w:pBdr>
        <w:bottom w:val="single" w:sz="4" w:space="1" w:color="auto"/>
      </w:pBdr>
      <w:tabs>
        <w:tab w:val="clear" w:pos="4320"/>
        <w:tab w:val="clear" w:pos="8640"/>
        <w:tab w:val="left" w:pos="0"/>
        <w:tab w:val="center" w:pos="4301"/>
        <w:tab w:val="left" w:pos="7938"/>
      </w:tabs>
    </w:pPr>
    <w:r>
      <w:t>IJAIDM</w:t>
    </w:r>
    <w:r w:rsidRPr="003D5B84">
      <w:tab/>
    </w:r>
    <w:r w:rsidRPr="001B4E0E">
      <w:t>p-ISSN: 2614-3372 | e-ISSN: 2614-6150</w:t>
    </w:r>
    <w:r w:rsidRPr="003D5B84">
      <w:tab/>
    </w:r>
    <w:r>
      <w:sym w:font="Wingdings" w:char="F072"/>
    </w:r>
  </w:p>
  <w:p w14:paraId="7C6E9D08" w14:textId="77777777" w:rsidR="00097958" w:rsidRPr="0033719B" w:rsidRDefault="00097958" w:rsidP="00337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4B30" w14:textId="77777777" w:rsidR="0033719B" w:rsidRPr="003D5B84" w:rsidRDefault="0033719B" w:rsidP="0033719B">
    <w:pPr>
      <w:pStyle w:val="Header"/>
      <w:tabs>
        <w:tab w:val="clear" w:pos="4320"/>
        <w:tab w:val="clear" w:pos="8640"/>
      </w:tabs>
      <w:ind w:right="45"/>
      <w:rPr>
        <w:b/>
      </w:rPr>
    </w:pPr>
    <w:r>
      <w:rPr>
        <w:b/>
      </w:rPr>
      <w:t xml:space="preserve">Indonesian </w:t>
    </w:r>
    <w:r w:rsidRPr="003D5B84">
      <w:rPr>
        <w:b/>
      </w:rPr>
      <w:t>J</w:t>
    </w:r>
    <w:r>
      <w:rPr>
        <w:b/>
      </w:rPr>
      <w:t xml:space="preserve">ournal of </w:t>
    </w:r>
    <w:r>
      <w:rPr>
        <w:b/>
        <w:lang w:val="id-ID"/>
      </w:rPr>
      <w:t>Artificial Intelligence and Data Mining</w:t>
    </w:r>
    <w:r>
      <w:rPr>
        <w:b/>
      </w:rPr>
      <w:t xml:space="preserve"> (I</w:t>
    </w:r>
    <w:r>
      <w:rPr>
        <w:b/>
        <w:lang w:val="id-ID"/>
      </w:rPr>
      <w:t>JAIDM</w:t>
    </w:r>
    <w:r w:rsidRPr="003D5B84">
      <w:rPr>
        <w:b/>
      </w:rPr>
      <w:t>)</w:t>
    </w:r>
  </w:p>
  <w:p w14:paraId="75C857B0" w14:textId="77777777" w:rsidR="0033719B" w:rsidRPr="003D5B84" w:rsidRDefault="0033719B" w:rsidP="0033719B">
    <w:pPr>
      <w:pStyle w:val="Header"/>
      <w:tabs>
        <w:tab w:val="clear" w:pos="4320"/>
        <w:tab w:val="clear" w:pos="8640"/>
      </w:tabs>
      <w:ind w:right="45"/>
    </w:pPr>
    <w:r>
      <w:t>Vol</w:t>
    </w:r>
    <w:r>
      <w:rPr>
        <w:lang w:val="id-ID"/>
      </w:rPr>
      <w:t xml:space="preserve"> </w:t>
    </w:r>
    <w:r w:rsidR="00C01111">
      <w:rPr>
        <w:lang w:val="id-ID"/>
      </w:rPr>
      <w:t>5</w:t>
    </w:r>
    <w:r w:rsidRPr="003D5B84">
      <w:t>, No.</w:t>
    </w:r>
    <w:r>
      <w:t>1</w:t>
    </w:r>
    <w:r w:rsidRPr="003D5B84">
      <w:t xml:space="preserve">, </w:t>
    </w:r>
    <w:r>
      <w:t>March 202</w:t>
    </w:r>
    <w:r w:rsidR="00C01111">
      <w:rPr>
        <w:lang w:val="id-ID"/>
      </w:rPr>
      <w:t>2</w:t>
    </w:r>
    <w:r>
      <w:t>, pp. 1 – 10</w:t>
    </w:r>
  </w:p>
  <w:p w14:paraId="21D8E051" w14:textId="77777777" w:rsidR="0033719B" w:rsidRPr="003D5B84" w:rsidRDefault="0033719B" w:rsidP="0033719B">
    <w:pPr>
      <w:pStyle w:val="Header"/>
      <w:tabs>
        <w:tab w:val="clear" w:pos="4320"/>
        <w:tab w:val="clear" w:pos="8640"/>
        <w:tab w:val="left" w:pos="7938"/>
        <w:tab w:val="right" w:pos="8789"/>
      </w:tabs>
      <w:rPr>
        <w:rStyle w:val="PageNumber"/>
      </w:rPr>
    </w:pPr>
    <w:r w:rsidRPr="001B4E0E">
      <w:t>p-ISSN:</w:t>
    </w:r>
    <w:r>
      <w:t xml:space="preserve"> </w:t>
    </w:r>
    <w:r w:rsidRPr="001B4E0E">
      <w:t>2614-3372 | e-ISSN: 2614-6150</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01111">
      <w:rPr>
        <w:rStyle w:val="PageNumber"/>
        <w:noProof/>
      </w:rPr>
      <w:t>1</w:t>
    </w:r>
    <w:r w:rsidRPr="003D5B84">
      <w:rPr>
        <w:rStyle w:val="PageNumber"/>
      </w:rPr>
      <w:fldChar w:fldCharType="end"/>
    </w:r>
  </w:p>
  <w:p w14:paraId="18225420" w14:textId="77777777" w:rsidR="00097958" w:rsidRPr="0033719B" w:rsidRDefault="00000000" w:rsidP="0033719B">
    <w:pPr>
      <w:pStyle w:val="Header"/>
      <w:tabs>
        <w:tab w:val="clear" w:pos="4320"/>
        <w:tab w:val="clear" w:pos="8640"/>
      </w:tabs>
      <w:ind w:right="45"/>
      <w:jc w:val="right"/>
      <w:rPr>
        <w:rStyle w:val="PageNumber"/>
      </w:rPr>
    </w:pPr>
    <w:r>
      <w:rPr>
        <w:noProof/>
      </w:rPr>
      <w:pict w14:anchorId="36B23EBC">
        <v:shapetype id="_x0000_t32" coordsize="21600,21600" o:spt="32" o:oned="t" path="m,l21600,21600e" filled="f">
          <v:path arrowok="t" fillok="f" o:connecttype="none"/>
          <o:lock v:ext="edit" shapetype="t"/>
        </v:shapetype>
        <v:shape id="AutoShape 6" o:spid="_x0000_s1032" type="#_x0000_t32" style="position:absolute;left:0;text-align:left;margin-left:.35pt;margin-top:3.15pt;width:441.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33719B"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7507"/>
    <w:multiLevelType w:val="hybridMultilevel"/>
    <w:tmpl w:val="D904EE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5E19CA"/>
    <w:multiLevelType w:val="hybridMultilevel"/>
    <w:tmpl w:val="185ABEBE"/>
    <w:lvl w:ilvl="0" w:tplc="38090001">
      <w:start w:val="1"/>
      <w:numFmt w:val="bullet"/>
      <w:lvlText w:val=""/>
      <w:lvlJc w:val="left"/>
      <w:pPr>
        <w:ind w:left="1214" w:hanging="360"/>
      </w:pPr>
      <w:rPr>
        <w:rFonts w:ascii="Symbol" w:hAnsi="Symbol" w:hint="default"/>
      </w:rPr>
    </w:lvl>
    <w:lvl w:ilvl="1" w:tplc="38090003" w:tentative="1">
      <w:start w:val="1"/>
      <w:numFmt w:val="bullet"/>
      <w:lvlText w:val="o"/>
      <w:lvlJc w:val="left"/>
      <w:pPr>
        <w:ind w:left="1934" w:hanging="360"/>
      </w:pPr>
      <w:rPr>
        <w:rFonts w:ascii="Courier New" w:hAnsi="Courier New" w:cs="Courier New" w:hint="default"/>
      </w:rPr>
    </w:lvl>
    <w:lvl w:ilvl="2" w:tplc="38090005" w:tentative="1">
      <w:start w:val="1"/>
      <w:numFmt w:val="bullet"/>
      <w:lvlText w:val=""/>
      <w:lvlJc w:val="left"/>
      <w:pPr>
        <w:ind w:left="2654" w:hanging="360"/>
      </w:pPr>
      <w:rPr>
        <w:rFonts w:ascii="Wingdings" w:hAnsi="Wingdings" w:hint="default"/>
      </w:rPr>
    </w:lvl>
    <w:lvl w:ilvl="3" w:tplc="38090001" w:tentative="1">
      <w:start w:val="1"/>
      <w:numFmt w:val="bullet"/>
      <w:lvlText w:val=""/>
      <w:lvlJc w:val="left"/>
      <w:pPr>
        <w:ind w:left="3374" w:hanging="360"/>
      </w:pPr>
      <w:rPr>
        <w:rFonts w:ascii="Symbol" w:hAnsi="Symbol" w:hint="default"/>
      </w:rPr>
    </w:lvl>
    <w:lvl w:ilvl="4" w:tplc="38090003" w:tentative="1">
      <w:start w:val="1"/>
      <w:numFmt w:val="bullet"/>
      <w:lvlText w:val="o"/>
      <w:lvlJc w:val="left"/>
      <w:pPr>
        <w:ind w:left="4094" w:hanging="360"/>
      </w:pPr>
      <w:rPr>
        <w:rFonts w:ascii="Courier New" w:hAnsi="Courier New" w:cs="Courier New" w:hint="default"/>
      </w:rPr>
    </w:lvl>
    <w:lvl w:ilvl="5" w:tplc="38090005" w:tentative="1">
      <w:start w:val="1"/>
      <w:numFmt w:val="bullet"/>
      <w:lvlText w:val=""/>
      <w:lvlJc w:val="left"/>
      <w:pPr>
        <w:ind w:left="4814" w:hanging="360"/>
      </w:pPr>
      <w:rPr>
        <w:rFonts w:ascii="Wingdings" w:hAnsi="Wingdings" w:hint="default"/>
      </w:rPr>
    </w:lvl>
    <w:lvl w:ilvl="6" w:tplc="38090001" w:tentative="1">
      <w:start w:val="1"/>
      <w:numFmt w:val="bullet"/>
      <w:lvlText w:val=""/>
      <w:lvlJc w:val="left"/>
      <w:pPr>
        <w:ind w:left="5534" w:hanging="360"/>
      </w:pPr>
      <w:rPr>
        <w:rFonts w:ascii="Symbol" w:hAnsi="Symbol" w:hint="default"/>
      </w:rPr>
    </w:lvl>
    <w:lvl w:ilvl="7" w:tplc="38090003" w:tentative="1">
      <w:start w:val="1"/>
      <w:numFmt w:val="bullet"/>
      <w:lvlText w:val="o"/>
      <w:lvlJc w:val="left"/>
      <w:pPr>
        <w:ind w:left="6254" w:hanging="360"/>
      </w:pPr>
      <w:rPr>
        <w:rFonts w:ascii="Courier New" w:hAnsi="Courier New" w:cs="Courier New" w:hint="default"/>
      </w:rPr>
    </w:lvl>
    <w:lvl w:ilvl="8" w:tplc="38090005" w:tentative="1">
      <w:start w:val="1"/>
      <w:numFmt w:val="bullet"/>
      <w:lvlText w:val=""/>
      <w:lvlJc w:val="left"/>
      <w:pPr>
        <w:ind w:left="6974" w:hanging="360"/>
      </w:pPr>
      <w:rPr>
        <w:rFonts w:ascii="Wingdings" w:hAnsi="Wingding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D2299"/>
    <w:multiLevelType w:val="multilevel"/>
    <w:tmpl w:val="8F1EEBEE"/>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rPr>
    </w:lvl>
    <w:lvl w:ilvl="2">
      <w:start w:val="1"/>
      <w:numFmt w:val="decimal"/>
      <w:lvlText w:val="2.3.%3"/>
      <w:lvlJc w:val="left"/>
      <w:pPr>
        <w:ind w:left="1080" w:hanging="360"/>
      </w:pPr>
      <w:rPr>
        <w:rFonts w:hint="default"/>
      </w:rPr>
    </w:lvl>
    <w:lvl w:ilvl="3">
      <w:start w:val="1"/>
      <w:numFmt w:val="none"/>
      <w:lvlText w:val="3.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0D46B7"/>
    <w:multiLevelType w:val="multilevel"/>
    <w:tmpl w:val="F5F8F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8E2726"/>
    <w:multiLevelType w:val="multilevel"/>
    <w:tmpl w:val="1C4CE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1594F82"/>
    <w:multiLevelType w:val="multilevel"/>
    <w:tmpl w:val="2EA261C0"/>
    <w:lvl w:ilvl="0">
      <w:start w:val="1"/>
      <w:numFmt w:val="decimal"/>
      <w:lvlText w:val="3.4.%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5B5CE0"/>
    <w:multiLevelType w:val="multilevel"/>
    <w:tmpl w:val="92F2C29E"/>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932EA"/>
    <w:multiLevelType w:val="hybridMultilevel"/>
    <w:tmpl w:val="FEA45F1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8C3145"/>
    <w:multiLevelType w:val="multilevel"/>
    <w:tmpl w:val="AEBC1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E87F8A"/>
    <w:multiLevelType w:val="multilevel"/>
    <w:tmpl w:val="2EA261C0"/>
    <w:numStyleLink w:val="Style1"/>
  </w:abstractNum>
  <w:abstractNum w:abstractNumId="20" w15:restartNumberingAfterBreak="0">
    <w:nsid w:val="5CED335E"/>
    <w:multiLevelType w:val="hybridMultilevel"/>
    <w:tmpl w:val="226A84A2"/>
    <w:lvl w:ilvl="0" w:tplc="DE52A4F4">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3AA336B"/>
    <w:multiLevelType w:val="multilevel"/>
    <w:tmpl w:val="2EA261C0"/>
    <w:styleLink w:val="Style1"/>
    <w:lvl w:ilvl="0">
      <w:start w:val="1"/>
      <w:numFmt w:val="decimal"/>
      <w:lvlText w:val="3.4.%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A58DB"/>
    <w:multiLevelType w:val="multilevel"/>
    <w:tmpl w:val="79B80324"/>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74181920"/>
    <w:multiLevelType w:val="multilevel"/>
    <w:tmpl w:val="92F2C29E"/>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7400697">
    <w:abstractNumId w:val="22"/>
  </w:num>
  <w:num w:numId="2" w16cid:durableId="919682807">
    <w:abstractNumId w:val="17"/>
  </w:num>
  <w:num w:numId="3" w16cid:durableId="1488859858">
    <w:abstractNumId w:val="28"/>
  </w:num>
  <w:num w:numId="4" w16cid:durableId="1041369929">
    <w:abstractNumId w:val="16"/>
  </w:num>
  <w:num w:numId="5" w16cid:durableId="224462580">
    <w:abstractNumId w:val="20"/>
  </w:num>
  <w:num w:numId="6" w16cid:durableId="891379701">
    <w:abstractNumId w:val="24"/>
  </w:num>
  <w:num w:numId="7" w16cid:durableId="1090272192">
    <w:abstractNumId w:val="21"/>
  </w:num>
  <w:num w:numId="8" w16cid:durableId="530997114">
    <w:abstractNumId w:val="18"/>
  </w:num>
  <w:num w:numId="9" w16cid:durableId="766731758">
    <w:abstractNumId w:val="14"/>
  </w:num>
  <w:num w:numId="10" w16cid:durableId="281545202">
    <w:abstractNumId w:val="3"/>
  </w:num>
  <w:num w:numId="11" w16cid:durableId="562369819">
    <w:abstractNumId w:val="2"/>
  </w:num>
  <w:num w:numId="12" w16cid:durableId="1185751584">
    <w:abstractNumId w:val="10"/>
  </w:num>
  <w:num w:numId="13" w16cid:durableId="1872573613">
    <w:abstractNumId w:val="4"/>
  </w:num>
  <w:num w:numId="14" w16cid:durableId="517743669">
    <w:abstractNumId w:val="11"/>
  </w:num>
  <w:num w:numId="15" w16cid:durableId="2099981226">
    <w:abstractNumId w:val="26"/>
  </w:num>
  <w:num w:numId="16" w16cid:durableId="1621841038">
    <w:abstractNumId w:val="12"/>
  </w:num>
  <w:num w:numId="17" w16cid:durableId="367149583">
    <w:abstractNumId w:val="25"/>
  </w:num>
  <w:num w:numId="18" w16cid:durableId="79982647">
    <w:abstractNumId w:val="0"/>
  </w:num>
  <w:num w:numId="19" w16cid:durableId="1625455473">
    <w:abstractNumId w:val="5"/>
  </w:num>
  <w:num w:numId="20" w16cid:durableId="875895883">
    <w:abstractNumId w:val="15"/>
  </w:num>
  <w:num w:numId="21" w16cid:durableId="698360668">
    <w:abstractNumId w:val="9"/>
  </w:num>
  <w:num w:numId="22" w16cid:durableId="1831750480">
    <w:abstractNumId w:val="29"/>
  </w:num>
  <w:num w:numId="23" w16cid:durableId="2135559008">
    <w:abstractNumId w:val="8"/>
  </w:num>
  <w:num w:numId="24" w16cid:durableId="1782072952">
    <w:abstractNumId w:val="13"/>
  </w:num>
  <w:num w:numId="25" w16cid:durableId="147602062">
    <w:abstractNumId w:val="1"/>
  </w:num>
  <w:num w:numId="26" w16cid:durableId="1903784900">
    <w:abstractNumId w:val="27"/>
  </w:num>
  <w:num w:numId="27" w16cid:durableId="1461220066">
    <w:abstractNumId w:val="6"/>
  </w:num>
  <w:num w:numId="28" w16cid:durableId="1329867340">
    <w:abstractNumId w:val="23"/>
  </w:num>
  <w:num w:numId="29" w16cid:durableId="648443807">
    <w:abstractNumId w:val="19"/>
  </w:num>
  <w:num w:numId="30" w16cid:durableId="132901455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6D0"/>
    <w:rsid w:val="00011448"/>
    <w:rsid w:val="00012CEF"/>
    <w:rsid w:val="00014633"/>
    <w:rsid w:val="00015F2A"/>
    <w:rsid w:val="00017858"/>
    <w:rsid w:val="00027142"/>
    <w:rsid w:val="000279BE"/>
    <w:rsid w:val="00034C84"/>
    <w:rsid w:val="00040524"/>
    <w:rsid w:val="000416A3"/>
    <w:rsid w:val="000437AE"/>
    <w:rsid w:val="00043921"/>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E94"/>
    <w:rsid w:val="00094EB8"/>
    <w:rsid w:val="00095C3E"/>
    <w:rsid w:val="00096883"/>
    <w:rsid w:val="000973CC"/>
    <w:rsid w:val="00097958"/>
    <w:rsid w:val="00097E2D"/>
    <w:rsid w:val="000A15DA"/>
    <w:rsid w:val="000A371B"/>
    <w:rsid w:val="000A592D"/>
    <w:rsid w:val="000A643C"/>
    <w:rsid w:val="000A7ACA"/>
    <w:rsid w:val="000B0641"/>
    <w:rsid w:val="000B5480"/>
    <w:rsid w:val="000B682B"/>
    <w:rsid w:val="000B7B54"/>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277B2"/>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A88"/>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756"/>
    <w:rsid w:val="001F470F"/>
    <w:rsid w:val="001F4ACD"/>
    <w:rsid w:val="001F6170"/>
    <w:rsid w:val="001F63D7"/>
    <w:rsid w:val="001F6ACF"/>
    <w:rsid w:val="001F6FB1"/>
    <w:rsid w:val="001F7B8B"/>
    <w:rsid w:val="002013E0"/>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76AC"/>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7876"/>
    <w:rsid w:val="002B0601"/>
    <w:rsid w:val="002B10C7"/>
    <w:rsid w:val="002B66EF"/>
    <w:rsid w:val="002B6EC9"/>
    <w:rsid w:val="002B7609"/>
    <w:rsid w:val="002C0665"/>
    <w:rsid w:val="002C2C92"/>
    <w:rsid w:val="002C4749"/>
    <w:rsid w:val="002C6317"/>
    <w:rsid w:val="002C6C57"/>
    <w:rsid w:val="002D07B9"/>
    <w:rsid w:val="002D0C71"/>
    <w:rsid w:val="002D0F04"/>
    <w:rsid w:val="002D31A6"/>
    <w:rsid w:val="002D4A56"/>
    <w:rsid w:val="002D61B6"/>
    <w:rsid w:val="002D797A"/>
    <w:rsid w:val="002E0BC4"/>
    <w:rsid w:val="002E184C"/>
    <w:rsid w:val="002E2CAE"/>
    <w:rsid w:val="002E42AC"/>
    <w:rsid w:val="002E6409"/>
    <w:rsid w:val="002F137A"/>
    <w:rsid w:val="002F267D"/>
    <w:rsid w:val="002F3D30"/>
    <w:rsid w:val="002F3F64"/>
    <w:rsid w:val="002F41A4"/>
    <w:rsid w:val="002F48E3"/>
    <w:rsid w:val="002F6BBA"/>
    <w:rsid w:val="002F6DFA"/>
    <w:rsid w:val="002F7C5F"/>
    <w:rsid w:val="0030038F"/>
    <w:rsid w:val="00302D7F"/>
    <w:rsid w:val="00304755"/>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19B"/>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7717"/>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B3F"/>
    <w:rsid w:val="003C3E42"/>
    <w:rsid w:val="003C4B05"/>
    <w:rsid w:val="003C72E2"/>
    <w:rsid w:val="003D07D2"/>
    <w:rsid w:val="003D5B84"/>
    <w:rsid w:val="003D79CF"/>
    <w:rsid w:val="003E0207"/>
    <w:rsid w:val="003E304D"/>
    <w:rsid w:val="003E4AA5"/>
    <w:rsid w:val="003F0964"/>
    <w:rsid w:val="003F18A1"/>
    <w:rsid w:val="003F1D93"/>
    <w:rsid w:val="003F2371"/>
    <w:rsid w:val="003F2EB6"/>
    <w:rsid w:val="003F4897"/>
    <w:rsid w:val="003F6587"/>
    <w:rsid w:val="00402C7D"/>
    <w:rsid w:val="00403A74"/>
    <w:rsid w:val="00407351"/>
    <w:rsid w:val="00407C2D"/>
    <w:rsid w:val="00407C59"/>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245F"/>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4AE2"/>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2DA9"/>
    <w:rsid w:val="0058326E"/>
    <w:rsid w:val="005833B8"/>
    <w:rsid w:val="00583711"/>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6F1E"/>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B7583"/>
    <w:rsid w:val="006C0661"/>
    <w:rsid w:val="006C0E3B"/>
    <w:rsid w:val="006C18AF"/>
    <w:rsid w:val="006C1D12"/>
    <w:rsid w:val="006D08D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17F8A"/>
    <w:rsid w:val="00720729"/>
    <w:rsid w:val="007212E2"/>
    <w:rsid w:val="00723DEB"/>
    <w:rsid w:val="007240E7"/>
    <w:rsid w:val="00731AEB"/>
    <w:rsid w:val="0073508A"/>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03EA"/>
    <w:rsid w:val="007912CE"/>
    <w:rsid w:val="0079451D"/>
    <w:rsid w:val="00794579"/>
    <w:rsid w:val="007A04C8"/>
    <w:rsid w:val="007A3102"/>
    <w:rsid w:val="007A3B30"/>
    <w:rsid w:val="007A3FC0"/>
    <w:rsid w:val="007A49BA"/>
    <w:rsid w:val="007A609F"/>
    <w:rsid w:val="007A7484"/>
    <w:rsid w:val="007B57A1"/>
    <w:rsid w:val="007B7535"/>
    <w:rsid w:val="007C0D3D"/>
    <w:rsid w:val="007C2A08"/>
    <w:rsid w:val="007C60D8"/>
    <w:rsid w:val="007D0019"/>
    <w:rsid w:val="007D0AC6"/>
    <w:rsid w:val="007D2077"/>
    <w:rsid w:val="007D2D7A"/>
    <w:rsid w:val="007D7A78"/>
    <w:rsid w:val="007E116F"/>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36"/>
    <w:rsid w:val="008344C2"/>
    <w:rsid w:val="00834BAC"/>
    <w:rsid w:val="008359CA"/>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4C41"/>
    <w:rsid w:val="008754E6"/>
    <w:rsid w:val="0087776F"/>
    <w:rsid w:val="0088233C"/>
    <w:rsid w:val="0088280A"/>
    <w:rsid w:val="00883EB7"/>
    <w:rsid w:val="00892C9F"/>
    <w:rsid w:val="00892FBD"/>
    <w:rsid w:val="00893AD8"/>
    <w:rsid w:val="00893D2C"/>
    <w:rsid w:val="00894D11"/>
    <w:rsid w:val="008951A9"/>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C698E"/>
    <w:rsid w:val="008C6C18"/>
    <w:rsid w:val="008D28A9"/>
    <w:rsid w:val="008D3BDF"/>
    <w:rsid w:val="008D7EA2"/>
    <w:rsid w:val="008E0F80"/>
    <w:rsid w:val="008E1CA4"/>
    <w:rsid w:val="008E3FAA"/>
    <w:rsid w:val="008E737C"/>
    <w:rsid w:val="008F05B8"/>
    <w:rsid w:val="008F0C9D"/>
    <w:rsid w:val="008F0D5A"/>
    <w:rsid w:val="008F0F0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784"/>
    <w:rsid w:val="009314C3"/>
    <w:rsid w:val="009317FD"/>
    <w:rsid w:val="009406FF"/>
    <w:rsid w:val="00941203"/>
    <w:rsid w:val="009416C1"/>
    <w:rsid w:val="0094367D"/>
    <w:rsid w:val="00943FA1"/>
    <w:rsid w:val="00944585"/>
    <w:rsid w:val="00945A5C"/>
    <w:rsid w:val="00946389"/>
    <w:rsid w:val="0094738D"/>
    <w:rsid w:val="00950EF7"/>
    <w:rsid w:val="00951FC6"/>
    <w:rsid w:val="00954DC1"/>
    <w:rsid w:val="00955462"/>
    <w:rsid w:val="00955B85"/>
    <w:rsid w:val="00956EB6"/>
    <w:rsid w:val="00957C11"/>
    <w:rsid w:val="009617A9"/>
    <w:rsid w:val="009665BE"/>
    <w:rsid w:val="009673AB"/>
    <w:rsid w:val="00970E84"/>
    <w:rsid w:val="00971153"/>
    <w:rsid w:val="00981036"/>
    <w:rsid w:val="00981E5F"/>
    <w:rsid w:val="00983846"/>
    <w:rsid w:val="0098542D"/>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C21"/>
    <w:rsid w:val="009E4FB4"/>
    <w:rsid w:val="009E5694"/>
    <w:rsid w:val="009E585B"/>
    <w:rsid w:val="009F040E"/>
    <w:rsid w:val="00A01765"/>
    <w:rsid w:val="00A02DD3"/>
    <w:rsid w:val="00A04D6C"/>
    <w:rsid w:val="00A05622"/>
    <w:rsid w:val="00A1014D"/>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5F0E"/>
    <w:rsid w:val="00A662A3"/>
    <w:rsid w:val="00A6697F"/>
    <w:rsid w:val="00A71C8A"/>
    <w:rsid w:val="00A71ED6"/>
    <w:rsid w:val="00A74EFE"/>
    <w:rsid w:val="00A77E76"/>
    <w:rsid w:val="00A80090"/>
    <w:rsid w:val="00A85A64"/>
    <w:rsid w:val="00A93118"/>
    <w:rsid w:val="00AA06A2"/>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5987"/>
    <w:rsid w:val="00AC60ED"/>
    <w:rsid w:val="00AD2373"/>
    <w:rsid w:val="00AD564C"/>
    <w:rsid w:val="00AD7639"/>
    <w:rsid w:val="00AE3182"/>
    <w:rsid w:val="00AE43A3"/>
    <w:rsid w:val="00AF095A"/>
    <w:rsid w:val="00AF1119"/>
    <w:rsid w:val="00AF59C3"/>
    <w:rsid w:val="00B011BB"/>
    <w:rsid w:val="00B0163B"/>
    <w:rsid w:val="00B02CBC"/>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091"/>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B7D60"/>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B7B"/>
    <w:rsid w:val="00BF2C8B"/>
    <w:rsid w:val="00BF34A7"/>
    <w:rsid w:val="00BF3B14"/>
    <w:rsid w:val="00BF6218"/>
    <w:rsid w:val="00C00EA2"/>
    <w:rsid w:val="00C01111"/>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769"/>
    <w:rsid w:val="00C15A56"/>
    <w:rsid w:val="00C20353"/>
    <w:rsid w:val="00C22F0A"/>
    <w:rsid w:val="00C2325B"/>
    <w:rsid w:val="00C25B1C"/>
    <w:rsid w:val="00C26299"/>
    <w:rsid w:val="00C2646B"/>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36"/>
    <w:rsid w:val="00C93F76"/>
    <w:rsid w:val="00C9655A"/>
    <w:rsid w:val="00C96FCA"/>
    <w:rsid w:val="00C9754D"/>
    <w:rsid w:val="00C975DF"/>
    <w:rsid w:val="00CA5D84"/>
    <w:rsid w:val="00CC1960"/>
    <w:rsid w:val="00CD7262"/>
    <w:rsid w:val="00CE1CF3"/>
    <w:rsid w:val="00CE70F3"/>
    <w:rsid w:val="00CE7659"/>
    <w:rsid w:val="00CF0E18"/>
    <w:rsid w:val="00CF29A4"/>
    <w:rsid w:val="00CF2F2E"/>
    <w:rsid w:val="00CF3339"/>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19CF"/>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1EC9"/>
    <w:rsid w:val="00DC2DC5"/>
    <w:rsid w:val="00DC341B"/>
    <w:rsid w:val="00DD35E7"/>
    <w:rsid w:val="00DD5486"/>
    <w:rsid w:val="00DD59E7"/>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18A2"/>
    <w:rsid w:val="00E12071"/>
    <w:rsid w:val="00E12660"/>
    <w:rsid w:val="00E12838"/>
    <w:rsid w:val="00E15BBF"/>
    <w:rsid w:val="00E15ECD"/>
    <w:rsid w:val="00E23F00"/>
    <w:rsid w:val="00E2599A"/>
    <w:rsid w:val="00E26A0F"/>
    <w:rsid w:val="00E318D4"/>
    <w:rsid w:val="00E339EE"/>
    <w:rsid w:val="00E3557A"/>
    <w:rsid w:val="00E4014C"/>
    <w:rsid w:val="00E401FC"/>
    <w:rsid w:val="00E4044E"/>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2793"/>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23B"/>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0BA8"/>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4480"/>
    <w:rsid w:val="00FE58CC"/>
    <w:rsid w:val="00FE75A9"/>
    <w:rsid w:val="00FF058D"/>
    <w:rsid w:val="00FF1D8E"/>
    <w:rsid w:val="00FF2440"/>
    <w:rsid w:val="00FF322C"/>
    <w:rsid w:val="00FF5BA4"/>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6CE7"/>
  <w15:docId w15:val="{111960E0-CCA5-4407-A4D5-66B8C33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aliases w:val="Title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qForma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character" w:customStyle="1" w:styleId="TitleChar">
    <w:name w:val="Title Char"/>
    <w:basedOn w:val="DefaultParagraphFont"/>
    <w:link w:val="Title"/>
    <w:uiPriority w:val="10"/>
    <w:rsid w:val="007D0019"/>
    <w:rPr>
      <w:b/>
      <w:bCs/>
      <w:sz w:val="28"/>
      <w:szCs w:val="24"/>
      <w:lang w:val="id-ID"/>
    </w:rPr>
  </w:style>
  <w:style w:type="numbering" w:customStyle="1" w:styleId="Style1">
    <w:name w:val="Style1"/>
    <w:uiPriority w:val="99"/>
    <w:rsid w:val="00C2646B"/>
    <w:pPr>
      <w:numPr>
        <w:numId w:val="28"/>
      </w:numPr>
    </w:pPr>
  </w:style>
  <w:style w:type="paragraph" w:customStyle="1" w:styleId="Keywords">
    <w:name w:val="Keywords"/>
    <w:qFormat/>
    <w:rsid w:val="002C6C57"/>
    <w:pPr>
      <w:spacing w:after="160" w:line="259" w:lineRule="auto"/>
    </w:pPr>
    <w:rPr>
      <w:rFonts w:ascii="Libertinus Serif" w:hAnsi="Libertinus Seri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ntl@ccu.edu.tw"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3A30-0CCF-4DE8-9735-09E0FB68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10656</Words>
  <Characters>60741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SRI RETNOWATI</cp:lastModifiedBy>
  <cp:revision>67</cp:revision>
  <cp:lastPrinted>2004-12-30T03:27:00Z</cp:lastPrinted>
  <dcterms:created xsi:type="dcterms:W3CDTF">2011-11-27T02:16:00Z</dcterms:created>
  <dcterms:modified xsi:type="dcterms:W3CDTF">2025-11-17T05:17:00Z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7206132c-c32d-3bfb-a33d-f57891dae5bf</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