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6ED3" w14:textId="2F285B65" w:rsidR="0022290E" w:rsidRPr="0022290E" w:rsidRDefault="00B93927" w:rsidP="0022290E">
      <w:pPr>
        <w:pStyle w:val="01NamaJurnal-JournalName"/>
      </w:pPr>
      <w:r>
        <w:rPr>
          <w:lang w:val="en"/>
        </w:rPr>
        <w:t>Educational Guidance and Counseling Development Jou</w:t>
      </w:r>
      <w:r w:rsidR="001E5B70">
        <w:rPr>
          <w:lang w:val="en"/>
        </w:rPr>
        <w:t>r</w:t>
      </w:r>
      <w:r>
        <w:rPr>
          <w:lang w:val="en"/>
        </w:rPr>
        <w:t>nal</w:t>
      </w:r>
    </w:p>
    <w:p w14:paraId="180F6C9F" w14:textId="77777777" w:rsidR="0022290E" w:rsidRPr="00B93927" w:rsidRDefault="00F462A4" w:rsidP="0022290E">
      <w:pPr>
        <w:pStyle w:val="02ISSN"/>
        <w:rPr>
          <w:lang w:val="en-US"/>
        </w:rPr>
      </w:pPr>
      <w:r>
        <w:rPr>
          <w:lang w:val="en"/>
        </w:rPr>
        <w:t>p-ISSN:2615-3661</w:t>
      </w:r>
      <w:r w:rsidR="00B93927">
        <w:rPr>
          <w:lang w:val="en"/>
        </w:rPr>
        <w:t>|e-ISSN: 2615-8358</w:t>
      </w:r>
    </w:p>
    <w:p w14:paraId="22C6CCAE" w14:textId="77777777" w:rsidR="0022290E" w:rsidRDefault="0022290E" w:rsidP="0022290E">
      <w:pPr>
        <w:pStyle w:val="03Volume"/>
      </w:pPr>
      <w:r w:rsidRPr="0007716B">
        <w:rPr>
          <w:b/>
          <w:lang w:val="en"/>
        </w:rPr>
        <w:t>V</w:t>
      </w:r>
      <w:r w:rsidRPr="00047629">
        <w:rPr>
          <w:lang w:val="en"/>
        </w:rPr>
        <w:t xml:space="preserve">ol. 1, No. 1, </w:t>
      </w:r>
      <w:r w:rsidR="00B93927">
        <w:rPr>
          <w:lang w:val="en"/>
        </w:rPr>
        <w:t>April</w:t>
      </w:r>
      <w:r w:rsidRPr="00047629">
        <w:rPr>
          <w:lang w:val="en"/>
        </w:rPr>
        <w:t>2018</w:t>
      </w:r>
      <w:r w:rsidR="006852E9">
        <w:rPr>
          <w:lang w:val="en"/>
        </w:rPr>
        <w:t>, xxx</w:t>
      </w:r>
      <w:r w:rsidRPr="00047629">
        <w:rPr>
          <w:lang w:val="en"/>
        </w:rPr>
        <w:t xml:space="preserve"> – xxx</w:t>
      </w:r>
    </w:p>
    <w:p w14:paraId="3FA6FC8A" w14:textId="0FB444A4" w:rsidR="00B20E47" w:rsidRPr="002B248B" w:rsidRDefault="002B248B" w:rsidP="0007716B">
      <w:pPr>
        <w:pStyle w:val="1Judul-Title"/>
        <w:rPr>
          <w:lang w:val="en-US"/>
        </w:rPr>
      </w:pPr>
      <w:r w:rsidRPr="002B248B">
        <w:rPr>
          <w:lang w:val="en"/>
        </w:rPr>
        <w:t xml:space="preserve">The Effect of Family Social Support on </w:t>
      </w:r>
      <w:r w:rsidRPr="002B248B">
        <w:rPr>
          <w:i/>
          <w:lang w:val="en"/>
        </w:rPr>
        <w:t>Student Engagement</w:t>
      </w:r>
      <w:r w:rsidRPr="002B248B">
        <w:rPr>
          <w:lang w:val="en"/>
        </w:rPr>
        <w:t xml:space="preserve"> in Online Learning </w:t>
      </w:r>
    </w:p>
    <w:p w14:paraId="56FF7C68" w14:textId="12E17EE2" w:rsidR="002B248B" w:rsidRDefault="002B248B" w:rsidP="002B248B">
      <w:pPr>
        <w:pStyle w:val="2Penulis-Author"/>
      </w:pPr>
      <w:r>
        <w:rPr>
          <w:lang w:val="en"/>
        </w:rPr>
        <w:t>Ari Gusmawan¹, Sigit Hariyadi²</w:t>
      </w:r>
    </w:p>
    <w:p w14:paraId="7E713EFD" w14:textId="1291892D" w:rsidR="00760BF6" w:rsidRPr="0069718E" w:rsidRDefault="002B248B" w:rsidP="002B248B">
      <w:pPr>
        <w:pStyle w:val="3Alamat-Address"/>
      </w:pPr>
      <w:r>
        <w:rPr>
          <w:vertAlign w:val="superscript"/>
          <w:lang w:val="en"/>
        </w:rPr>
        <w:t xml:space="preserve">1.2 </w:t>
      </w:r>
      <w:r>
        <w:rPr>
          <w:lang w:val="en"/>
        </w:rPr>
        <w:t xml:space="preserve">Department of Guidance and Counseling, Semarang State University </w:t>
      </w:r>
    </w:p>
    <w:p w14:paraId="598A6EB0" w14:textId="1846C51F" w:rsidR="00690742" w:rsidRPr="002B248B" w:rsidRDefault="00AA0FA8" w:rsidP="009A23F7">
      <w:pPr>
        <w:pStyle w:val="4email-email"/>
        <w:rPr>
          <w:lang w:val="en-US"/>
        </w:rPr>
      </w:pPr>
      <w:r w:rsidRPr="009A23F7">
        <w:rPr>
          <w:lang w:val="en"/>
        </w:rPr>
        <w:t xml:space="preserve">e-mail: </w:t>
      </w:r>
      <w:hyperlink r:id="rId8" w:history="1">
        <w:r w:rsidR="002B248B" w:rsidRPr="009276C1">
          <w:rPr>
            <w:rStyle w:val="Hyperlink"/>
            <w:lang w:val="en"/>
          </w:rPr>
          <w:t>arigus.gusmawan@gmail.com</w:t>
        </w:r>
      </w:hyperlink>
      <w:r w:rsidR="00A31929">
        <w:rPr>
          <w:lang w:val="en"/>
        </w:rPr>
        <w:t>.,</w:t>
      </w:r>
      <w:hyperlink r:id="rId9" w:history="1">
        <w:r w:rsidR="00A31929" w:rsidRPr="009276C1">
          <w:rPr>
            <w:rStyle w:val="Hyperlink"/>
            <w:lang w:val="en"/>
          </w:rPr>
          <w:t xml:space="preserve"> sigit.hariyadi@mail.unnes.ac.id</w:t>
        </w:r>
      </w:hyperlink>
    </w:p>
    <w:p w14:paraId="2EC53CAA" w14:textId="5EDFC3BF" w:rsidR="00690742" w:rsidRPr="00CA6E1B" w:rsidRDefault="00690742" w:rsidP="008866B3">
      <w:pPr>
        <w:pStyle w:val="5Abstrak-Abstract"/>
        <w:rPr>
          <w:lang w:val="en-US"/>
        </w:rPr>
      </w:pPr>
      <w:r w:rsidRPr="0069718E">
        <w:rPr>
          <w:b/>
          <w:lang w:val="en"/>
        </w:rPr>
        <w:t xml:space="preserve">ABSTRACT. </w:t>
      </w:r>
      <w:r w:rsidR="00B54589" w:rsidRPr="00750321">
        <w:rPr>
          <w:lang w:val="en"/>
        </w:rPr>
        <w:t>The Covid-19</w:t>
      </w:r>
      <w:r w:rsidRPr="00750321">
        <w:rPr>
          <w:lang w:val="en"/>
        </w:rPr>
        <w:t xml:space="preserve"> pandemic</w:t>
      </w:r>
      <w:r w:rsidR="00B54589" w:rsidRPr="00750321">
        <w:rPr>
          <w:lang w:val="en"/>
        </w:rPr>
        <w:t xml:space="preserve"> has also strengthened the shift in learning activities in the educational environment which was originally carried out directly in schools to online which can be accessed anywhere. In addition to the covid 19 outbreak issue, this shift is also based on the development of communication technology that is very adequate. This shift in the way of learning is also felt by students at the elementary school level. A strong issue that arises in this shift in the way of learning is student engagement in participating in online learning. This engagement includes involvement in behavior, emotions</w:t>
      </w:r>
      <w:r w:rsidR="001E5B70" w:rsidRPr="00750321">
        <w:rPr>
          <w:lang w:val="en"/>
        </w:rPr>
        <w:t>,</w:t>
      </w:r>
      <w:r w:rsidR="00B54589" w:rsidRPr="00750321">
        <w:rPr>
          <w:lang w:val="en"/>
        </w:rPr>
        <w:t xml:space="preserve"> and thoughts. One of the factors that influence students in participating in online learning is the social support of their families. The purpose of the study was to analyze the effect of family social support on student engagement in participating in online learning at SDN </w:t>
      </w:r>
      <w:proofErr w:type="spellStart"/>
      <w:r w:rsidR="00B54589" w:rsidRPr="00750321">
        <w:rPr>
          <w:lang w:val="en"/>
        </w:rPr>
        <w:t>Jejeruk</w:t>
      </w:r>
      <w:proofErr w:type="spellEnd"/>
      <w:r w:rsidR="00B54589" w:rsidRPr="00750321">
        <w:rPr>
          <w:lang w:val="en"/>
        </w:rPr>
        <w:t xml:space="preserve">, </w:t>
      </w:r>
      <w:proofErr w:type="spellStart"/>
      <w:r w:rsidR="00B54589" w:rsidRPr="00750321">
        <w:rPr>
          <w:lang w:val="en"/>
        </w:rPr>
        <w:t>Blora</w:t>
      </w:r>
      <w:proofErr w:type="spellEnd"/>
      <w:r w:rsidR="00B54589" w:rsidRPr="00750321">
        <w:rPr>
          <w:lang w:val="en"/>
        </w:rPr>
        <w:t xml:space="preserve"> Regency. The method used is correlational quantitative using a total sampling of all populations of 85 students. Data collection was carried out with a psychological scale of family social support and a psychological scale of student engagement. The results of this study show the influence of family social support in the form of emotional support, appreciation, instrumental and information on student engagement of 10.6%</w:t>
      </w:r>
      <w:r w:rsidR="00CA6E1B" w:rsidRPr="00750321">
        <w:rPr>
          <w:lang w:val="en"/>
        </w:rPr>
        <w:t xml:space="preserve"> obtained from the results of the coefficient of determination test (R</w:t>
      </w:r>
      <w:r w:rsidR="00CA6E1B" w:rsidRPr="00750321">
        <w:rPr>
          <w:vertAlign w:val="superscript"/>
          <w:lang w:val="en"/>
        </w:rPr>
        <w:t>2</w:t>
      </w:r>
      <w:r w:rsidR="00CA6E1B" w:rsidRPr="00750321">
        <w:rPr>
          <w:lang w:val="en"/>
        </w:rPr>
        <w:t>).</w:t>
      </w:r>
    </w:p>
    <w:p w14:paraId="5FB520B8" w14:textId="050BA231" w:rsidR="00690742" w:rsidRPr="00B54589" w:rsidRDefault="005C0FCC" w:rsidP="008866B3">
      <w:pPr>
        <w:pStyle w:val="6Katakunci-Keywords"/>
        <w:rPr>
          <w:lang w:val="en-US"/>
        </w:rPr>
      </w:pPr>
      <w:r>
        <w:rPr>
          <w:b/>
          <w:bCs/>
          <w:lang w:val="en"/>
        </w:rPr>
        <w:t>Keywords</w:t>
      </w:r>
      <w:r w:rsidR="00690742" w:rsidRPr="0069718E">
        <w:rPr>
          <w:lang w:val="en"/>
        </w:rPr>
        <w:t xml:space="preserve">: </w:t>
      </w:r>
      <w:r w:rsidR="00B54589" w:rsidRPr="00B54589">
        <w:rPr>
          <w:lang w:val="en"/>
        </w:rPr>
        <w:t xml:space="preserve">family social support, </w:t>
      </w:r>
      <w:r w:rsidR="00B54589" w:rsidRPr="00B54589">
        <w:rPr>
          <w:i/>
          <w:iCs/>
          <w:lang w:val="en"/>
        </w:rPr>
        <w:t>student engagement</w:t>
      </w:r>
      <w:r w:rsidR="00B54589" w:rsidRPr="00B54589">
        <w:rPr>
          <w:lang w:val="en"/>
        </w:rPr>
        <w:t>, online learning</w:t>
      </w:r>
      <w:r w:rsidR="00B54589">
        <w:rPr>
          <w:lang w:val="en"/>
        </w:rPr>
        <w:t>, elementary school</w:t>
      </w:r>
    </w:p>
    <w:p w14:paraId="42B52050" w14:textId="77777777" w:rsidR="00690742" w:rsidRPr="00CA6E1B" w:rsidRDefault="00D53F9E" w:rsidP="00D53F9E">
      <w:pPr>
        <w:pStyle w:val="7Bagian-Section"/>
      </w:pPr>
      <w:r w:rsidRPr="00CA6E1B">
        <w:rPr>
          <w:lang w:val="en"/>
        </w:rPr>
        <w:t>Introduction</w:t>
      </w:r>
    </w:p>
    <w:p w14:paraId="1BF0FDE6" w14:textId="632DB65A" w:rsidR="0083301F" w:rsidRPr="00CA6E1B" w:rsidRDefault="0083301F" w:rsidP="0083301F">
      <w:pPr>
        <w:pStyle w:val="8ParagrafAwal-FirstParagraph"/>
      </w:pPr>
      <w:r w:rsidRPr="00CA6E1B">
        <w:rPr>
          <w:lang w:val="en"/>
        </w:rPr>
        <w:t xml:space="preserve">The national education system in Indonesia places primary school as the most basic level which shows that elementary school is the starting point for formal learning at the school level. Along with the Covid-19 pandemic, it has also brought a shift in learning activities that were originally carried out directly in schools, now they must be carried out at home, including at the elementary school level as well. However, the Covid-19 pandemic is not the only reason why this learning has shifted but also because the development of the times in the 21st century has given rise to a very strong new influence on the rapid progress of Information and Communication Technology (ICT) in the world of education. One of the influences of ICT in education is the use of </w:t>
      </w:r>
      <w:r w:rsidR="001E5B70">
        <w:rPr>
          <w:lang w:val="en"/>
        </w:rPr>
        <w:t xml:space="preserve">the </w:t>
      </w:r>
      <w:r w:rsidRPr="00CA6E1B">
        <w:rPr>
          <w:lang w:val="en"/>
        </w:rPr>
        <w:t xml:space="preserve">internet and computer networks in the learning process often referred to as e-learning which later developed again into online learning (Yanti et al., 2020). Online learning is considered a solution during the pandemic to ensure that education is not suspended </w:t>
      </w:r>
      <w:r w:rsidR="001E5B70">
        <w:rPr>
          <w:lang w:val="en"/>
        </w:rPr>
        <w:t xml:space="preserve">in </w:t>
      </w:r>
      <w:r w:rsidRPr="00CA6E1B">
        <w:rPr>
          <w:lang w:val="en"/>
        </w:rPr>
        <w:t>animation. Dewi (2020) said that online learning in elementary schools is carried out according to the abilities of each school so there is no definite measure. This online learning can use digital platforms such as google classroom, learning houses, zoom, video conferencing, telephone</w:t>
      </w:r>
      <w:r w:rsidR="001E5B70">
        <w:rPr>
          <w:lang w:val="en"/>
        </w:rPr>
        <w:t>,</w:t>
      </w:r>
      <w:r w:rsidRPr="00CA6E1B">
        <w:rPr>
          <w:lang w:val="en"/>
        </w:rPr>
        <w:t xml:space="preserve"> or assistance by teachers through </w:t>
      </w:r>
      <w:proofErr w:type="spellStart"/>
      <w:r w:rsidRPr="00CA6E1B">
        <w:rPr>
          <w:lang w:val="en"/>
        </w:rPr>
        <w:t>Whatsapp</w:t>
      </w:r>
      <w:proofErr w:type="spellEnd"/>
      <w:r w:rsidRPr="00CA6E1B">
        <w:rPr>
          <w:lang w:val="en"/>
        </w:rPr>
        <w:t xml:space="preserve"> groups. </w:t>
      </w:r>
    </w:p>
    <w:p w14:paraId="07492485" w14:textId="59D9445E" w:rsidR="0083301F" w:rsidRPr="00CA6E1B" w:rsidRDefault="0083301F" w:rsidP="0083301F">
      <w:pPr>
        <w:pStyle w:val="8ParagrafAwal-FirstParagraph"/>
      </w:pPr>
      <w:r w:rsidRPr="00CA6E1B">
        <w:rPr>
          <w:lang w:val="en"/>
        </w:rPr>
        <w:t xml:space="preserve">One of the important factors that must be considered </w:t>
      </w:r>
      <w:r w:rsidR="001E5B70">
        <w:rPr>
          <w:lang w:val="en"/>
        </w:rPr>
        <w:t>for</w:t>
      </w:r>
      <w:r w:rsidRPr="00CA6E1B">
        <w:rPr>
          <w:lang w:val="en"/>
        </w:rPr>
        <w:t xml:space="preserve"> success in the learning process is student involvement because the learning process is not only focused on learning outcomes and achievements but also on participation in the process that students go through during learning or often referred to as student engagement (Fredricks et al in </w:t>
      </w:r>
      <w:proofErr w:type="spellStart"/>
      <w:r w:rsidRPr="00CA6E1B">
        <w:rPr>
          <w:lang w:val="en"/>
        </w:rPr>
        <w:t>Fikrie</w:t>
      </w:r>
      <w:proofErr w:type="spellEnd"/>
      <w:r w:rsidRPr="00CA6E1B">
        <w:rPr>
          <w:lang w:val="en"/>
        </w:rPr>
        <w:t xml:space="preserve"> &amp; Ariani, 2019). Unfortunately, </w:t>
      </w:r>
      <w:r w:rsidRPr="00CA6E1B">
        <w:rPr>
          <w:lang w:val="en"/>
        </w:rPr>
        <w:lastRenderedPageBreak/>
        <w:t xml:space="preserve">with the shift in online learning patterns that occur today has a bad impact on student engagement becoming less, this happens because students are physically separated from other teachers and students with limited interactions that exist (Bolliger &amp; Halupa in </w:t>
      </w:r>
      <w:proofErr w:type="spellStart"/>
      <w:r w:rsidRPr="00CA6E1B">
        <w:rPr>
          <w:lang w:val="en"/>
        </w:rPr>
        <w:t>Bagriacik</w:t>
      </w:r>
      <w:proofErr w:type="spellEnd"/>
      <w:r w:rsidRPr="00CA6E1B">
        <w:rPr>
          <w:lang w:val="en"/>
        </w:rPr>
        <w:t xml:space="preserve"> Yilmaz &amp; Banyard, 2020). </w:t>
      </w:r>
    </w:p>
    <w:p w14:paraId="1C0AAC21" w14:textId="32CF7EAC" w:rsidR="0083301F" w:rsidRPr="00CA6E1B" w:rsidRDefault="0083301F" w:rsidP="0083301F">
      <w:pPr>
        <w:pStyle w:val="8ParagrafAwal-FirstParagraph"/>
      </w:pPr>
      <w:proofErr w:type="spellStart"/>
      <w:r w:rsidRPr="00CA6E1B">
        <w:rPr>
          <w:lang w:val="en"/>
        </w:rPr>
        <w:t>Junianto</w:t>
      </w:r>
      <w:proofErr w:type="spellEnd"/>
      <w:r w:rsidRPr="00CA6E1B">
        <w:rPr>
          <w:lang w:val="en"/>
        </w:rPr>
        <w:t xml:space="preserve"> et al. (2020) define student engagement as an engagement carried out by students in following the academic and non-academic learning process displayed through the behavior, emotions, and thoughts of students at school. Fredricks et al. (2004) said that student engagement consists of three dimensions of engagement, namely behavioral engagement, emotional engagement, and cognitive engagement. Co</w:t>
      </w:r>
      <w:r w:rsidR="001E5B70">
        <w:rPr>
          <w:lang w:val="en"/>
        </w:rPr>
        <w:t>m</w:t>
      </w:r>
      <w:r w:rsidRPr="00CA6E1B">
        <w:rPr>
          <w:lang w:val="en"/>
        </w:rPr>
        <w:t>mittee on Increasing High School Students' Engagement and Motivation to Learn said that student engagement itself can be influenced by contextual factors outside of school, one of which is the family (Miranti et al 2021). This is supported by the opinion of Connell &amp; Wellborn in Fredricks et al. (2004) that family, community, culture, and educational context can influence student engagement.</w:t>
      </w:r>
    </w:p>
    <w:p w14:paraId="607A2F19" w14:textId="45E5086A" w:rsidR="0083301F" w:rsidRPr="00CA6E1B" w:rsidRDefault="0083301F" w:rsidP="0083301F">
      <w:pPr>
        <w:pStyle w:val="8ParagrafAwal-FirstParagraph"/>
      </w:pPr>
      <w:proofErr w:type="spellStart"/>
      <w:r w:rsidRPr="00CA6E1B">
        <w:rPr>
          <w:lang w:val="en"/>
        </w:rPr>
        <w:t>Bempechat</w:t>
      </w:r>
      <w:proofErr w:type="spellEnd"/>
      <w:r w:rsidRPr="00CA6E1B">
        <w:rPr>
          <w:lang w:val="en"/>
        </w:rPr>
        <w:t xml:space="preserve"> &amp; </w:t>
      </w:r>
      <w:proofErr w:type="spellStart"/>
      <w:r w:rsidRPr="00CA6E1B">
        <w:rPr>
          <w:lang w:val="en"/>
        </w:rPr>
        <w:t>Shernoff</w:t>
      </w:r>
      <w:proofErr w:type="spellEnd"/>
      <w:r w:rsidRPr="00CA6E1B">
        <w:rPr>
          <w:lang w:val="en"/>
        </w:rPr>
        <w:t xml:space="preserve"> in Miranti et al. (2021) also mentioned that student engagement is influenced by supportive relationships from parents to students, which means that parents as part of the family have a big role in providing social support to students in their involvement in online learning at home. As </w:t>
      </w:r>
      <w:r w:rsidR="001E5B70">
        <w:rPr>
          <w:lang w:val="en"/>
        </w:rPr>
        <w:t>s</w:t>
      </w:r>
      <w:r w:rsidRPr="00CA6E1B">
        <w:rPr>
          <w:lang w:val="en"/>
        </w:rPr>
        <w:t xml:space="preserve">tated by Johnson &amp; Johnson in </w:t>
      </w:r>
      <w:proofErr w:type="spellStart"/>
      <w:r w:rsidRPr="00CA6E1B">
        <w:rPr>
          <w:lang w:val="en"/>
        </w:rPr>
        <w:t>Widyastuti</w:t>
      </w:r>
      <w:proofErr w:type="spellEnd"/>
      <w:r w:rsidRPr="00CA6E1B">
        <w:rPr>
          <w:lang w:val="en"/>
        </w:rPr>
        <w:t xml:space="preserve"> &amp; Pratiwi (2013) that social support can come from important people who are closest to (significant others) students. Uchino explains that social support refers to comfort, care, appreciation, or help available to someone from another person or group (</w:t>
      </w:r>
      <w:proofErr w:type="spellStart"/>
      <w:r w:rsidRPr="00CA6E1B">
        <w:rPr>
          <w:lang w:val="en"/>
        </w:rPr>
        <w:t>Sarafino</w:t>
      </w:r>
      <w:proofErr w:type="spellEnd"/>
      <w:r w:rsidRPr="00CA6E1B">
        <w:rPr>
          <w:lang w:val="en"/>
        </w:rPr>
        <w:t xml:space="preserve"> &amp; Timothy, 2011). </w:t>
      </w:r>
    </w:p>
    <w:p w14:paraId="4A6DCC5D" w14:textId="2AAEB67E" w:rsidR="0083301F" w:rsidRPr="00CA6E1B" w:rsidRDefault="0083301F" w:rsidP="0083301F">
      <w:pPr>
        <w:pStyle w:val="8ParagrafAwal-FirstParagraph"/>
        <w:rPr>
          <w:lang w:val="en-US"/>
        </w:rPr>
      </w:pPr>
      <w:proofErr w:type="spellStart"/>
      <w:r w:rsidRPr="00CA6E1B">
        <w:rPr>
          <w:lang w:val="en"/>
        </w:rPr>
        <w:t>Sarason</w:t>
      </w:r>
      <w:proofErr w:type="spellEnd"/>
      <w:r w:rsidRPr="00CA6E1B">
        <w:rPr>
          <w:lang w:val="en"/>
        </w:rPr>
        <w:t xml:space="preserve"> &amp; </w:t>
      </w:r>
      <w:proofErr w:type="spellStart"/>
      <w:r w:rsidRPr="00CA6E1B">
        <w:rPr>
          <w:lang w:val="en"/>
        </w:rPr>
        <w:t>Sarason</w:t>
      </w:r>
      <w:proofErr w:type="spellEnd"/>
      <w:r w:rsidRPr="00CA6E1B">
        <w:rPr>
          <w:lang w:val="en"/>
        </w:rPr>
        <w:t xml:space="preserve"> in Marni &amp; </w:t>
      </w:r>
      <w:proofErr w:type="spellStart"/>
      <w:r w:rsidRPr="00CA6E1B">
        <w:rPr>
          <w:lang w:val="en"/>
        </w:rPr>
        <w:t>Yuniawati</w:t>
      </w:r>
      <w:proofErr w:type="spellEnd"/>
      <w:r w:rsidRPr="00CA6E1B">
        <w:rPr>
          <w:lang w:val="en"/>
        </w:rPr>
        <w:t xml:space="preserve"> (2015) states that social support is support obtained through social familiarity (family, friends, children</w:t>
      </w:r>
      <w:r w:rsidR="001E5B70">
        <w:rPr>
          <w:lang w:val="en"/>
        </w:rPr>
        <w:t>,</w:t>
      </w:r>
      <w:r w:rsidRPr="00CA6E1B">
        <w:rPr>
          <w:lang w:val="en"/>
        </w:rPr>
        <w:t xml:space="preserve"> and others) in the form of providing information, verbal or nonverbal advice, direct or indirect assistance, socially beneficial actions and behavioral effects for the recipient that will protect themselves from destructive behavior. Myers in Wahyuni (2016) mentions that the factors for the formation of social support consist of 1) a sense of empathy, 2) Social norms and values, and 3) Social exchange. In providing social support </w:t>
      </w:r>
      <w:proofErr w:type="spellStart"/>
      <w:r w:rsidRPr="00CA6E1B">
        <w:rPr>
          <w:lang w:val="en"/>
        </w:rPr>
        <w:t>Sarafino</w:t>
      </w:r>
      <w:proofErr w:type="spellEnd"/>
      <w:r w:rsidRPr="00CA6E1B">
        <w:rPr>
          <w:lang w:val="en"/>
        </w:rPr>
        <w:t xml:space="preserve"> in </w:t>
      </w:r>
      <w:proofErr w:type="spellStart"/>
      <w:r w:rsidRPr="00CA6E1B">
        <w:rPr>
          <w:lang w:val="en"/>
        </w:rPr>
        <w:t>Kusrini</w:t>
      </w:r>
      <w:proofErr w:type="spellEnd"/>
      <w:r w:rsidRPr="00CA6E1B">
        <w:rPr>
          <w:lang w:val="en"/>
        </w:rPr>
        <w:t xml:space="preserve"> &amp; </w:t>
      </w:r>
      <w:proofErr w:type="spellStart"/>
      <w:r w:rsidRPr="00CA6E1B">
        <w:rPr>
          <w:lang w:val="en"/>
        </w:rPr>
        <w:t>Prihartanti</w:t>
      </w:r>
      <w:proofErr w:type="spellEnd"/>
      <w:r w:rsidRPr="00CA6E1B">
        <w:rPr>
          <w:lang w:val="en"/>
        </w:rPr>
        <w:t xml:space="preserve"> (2014) mentions social support consists of four aspects, namely 1) emotional support, 2) reward support, 3) instrumental support, and 4) information support</w:t>
      </w:r>
      <w:r w:rsidR="007B4F15" w:rsidRPr="00CA6E1B">
        <w:rPr>
          <w:lang w:val="en"/>
        </w:rPr>
        <w:t>.</w:t>
      </w:r>
    </w:p>
    <w:p w14:paraId="2A100DAB" w14:textId="35F41470" w:rsidR="0083301F" w:rsidRPr="00CA6E1B" w:rsidRDefault="0083301F" w:rsidP="0083301F">
      <w:pPr>
        <w:pStyle w:val="8ParagrafAwal-FirstParagraph"/>
      </w:pPr>
      <w:r w:rsidRPr="00CA6E1B">
        <w:rPr>
          <w:lang w:val="en"/>
        </w:rPr>
        <w:t xml:space="preserve">Based on the results of an interview with a grade 3 teacher at SDN </w:t>
      </w:r>
      <w:proofErr w:type="spellStart"/>
      <w:r w:rsidRPr="00CA6E1B">
        <w:rPr>
          <w:lang w:val="en"/>
        </w:rPr>
        <w:t>Jejeruk</w:t>
      </w:r>
      <w:proofErr w:type="spellEnd"/>
      <w:r w:rsidRPr="00CA6E1B">
        <w:rPr>
          <w:lang w:val="en"/>
        </w:rPr>
        <w:t xml:space="preserve"> stated that student involvement in participating in online learning is quite low in grade 3, only 50% of students can take part in online learning in sync with online meeting applications such as Google Meet while for asynchronous online learning such as giving assignments through </w:t>
      </w:r>
      <w:proofErr w:type="spellStart"/>
      <w:r w:rsidRPr="00CA6E1B">
        <w:rPr>
          <w:lang w:val="en"/>
        </w:rPr>
        <w:t>Whatsapp</w:t>
      </w:r>
      <w:proofErr w:type="spellEnd"/>
      <w:r w:rsidRPr="00CA6E1B">
        <w:rPr>
          <w:lang w:val="en"/>
        </w:rPr>
        <w:t xml:space="preserve"> Group or other media around 70% of students can be involved,  this happens because the student's family at home</w:t>
      </w:r>
      <w:r w:rsidR="001E5B70">
        <w:rPr>
          <w:lang w:val="en"/>
        </w:rPr>
        <w:t>s</w:t>
      </w:r>
      <w:r w:rsidRPr="00CA6E1B">
        <w:rPr>
          <w:lang w:val="en"/>
        </w:rPr>
        <w:t xml:space="preserve"> such as parents, siblings, or siblings do not provide support to students in carrying out online learning. Similar results were also found in the direct observations made by researchers participating in online learning at SDN </w:t>
      </w:r>
      <w:proofErr w:type="spellStart"/>
      <w:r w:rsidRPr="00CA6E1B">
        <w:rPr>
          <w:lang w:val="en"/>
        </w:rPr>
        <w:t>Jejeruk</w:t>
      </w:r>
      <w:proofErr w:type="spellEnd"/>
      <w:r w:rsidRPr="00CA6E1B">
        <w:rPr>
          <w:lang w:val="en"/>
        </w:rPr>
        <w:t xml:space="preserve"> showing that students must be accompanied by their families in participating in online learning to ensure that there are no technical obstacles such as device problems and non-technical obstacles such as students being reluctant to listen to online learning. Based on these several things, student engagement in online learning is felt to be influenced by the social support of family members at home, therefore this study is intended to further explore the influence of family social support on student engagement in online learning at SDN </w:t>
      </w:r>
      <w:proofErr w:type="spellStart"/>
      <w:r w:rsidRPr="00CA6E1B">
        <w:rPr>
          <w:lang w:val="en"/>
        </w:rPr>
        <w:t>Jejeruk</w:t>
      </w:r>
      <w:proofErr w:type="spellEnd"/>
      <w:r w:rsidRPr="00CA6E1B">
        <w:rPr>
          <w:lang w:val="en"/>
        </w:rPr>
        <w:t>.</w:t>
      </w:r>
    </w:p>
    <w:p w14:paraId="49E6D012" w14:textId="14FFEBFF" w:rsidR="0083301F" w:rsidRDefault="0083301F" w:rsidP="0053294B">
      <w:pPr>
        <w:pStyle w:val="8ParagrafAwal-FirstParagraph"/>
      </w:pPr>
    </w:p>
    <w:p w14:paraId="390D5BB2" w14:textId="4ED1E5F0" w:rsidR="00750321" w:rsidRDefault="00750321" w:rsidP="00750321">
      <w:pPr>
        <w:pStyle w:val="TeksIsi"/>
        <w:rPr>
          <w:lang w:val="id-ID" w:eastAsia="id-ID"/>
        </w:rPr>
      </w:pPr>
    </w:p>
    <w:p w14:paraId="656F0792" w14:textId="1BFA7022" w:rsidR="00750321" w:rsidRDefault="00750321" w:rsidP="00750321">
      <w:pPr>
        <w:pStyle w:val="TeksIsi"/>
        <w:rPr>
          <w:lang w:val="id-ID" w:eastAsia="id-ID"/>
        </w:rPr>
      </w:pPr>
    </w:p>
    <w:p w14:paraId="71AC87E3" w14:textId="77777777" w:rsidR="00750321" w:rsidRPr="00750321" w:rsidRDefault="00750321" w:rsidP="00750321">
      <w:pPr>
        <w:pStyle w:val="TeksIsi"/>
        <w:rPr>
          <w:lang w:val="id-ID" w:eastAsia="id-ID"/>
        </w:rPr>
      </w:pPr>
    </w:p>
    <w:p w14:paraId="4BF71DCE" w14:textId="77777777" w:rsidR="00CA7F4C" w:rsidRPr="00CA6E1B" w:rsidRDefault="00C96B08" w:rsidP="001245A4">
      <w:pPr>
        <w:pStyle w:val="Judul1"/>
        <w:rPr>
          <w:lang w:val="id-ID" w:eastAsia="id-ID"/>
        </w:rPr>
      </w:pPr>
      <w:r w:rsidRPr="00CA6E1B">
        <w:rPr>
          <w:lang w:val="en"/>
        </w:rPr>
        <w:lastRenderedPageBreak/>
        <w:t>METHODOLOGY</w:t>
      </w:r>
    </w:p>
    <w:p w14:paraId="0F15DD03" w14:textId="7A7F7FB2" w:rsidR="0083301F" w:rsidRPr="00CA6E1B" w:rsidRDefault="0083301F" w:rsidP="0083301F">
      <w:pPr>
        <w:pStyle w:val="8ParagrafAwal-FirstParagraph"/>
      </w:pPr>
      <w:r w:rsidRPr="00CA6E1B">
        <w:rPr>
          <w:lang w:val="en"/>
        </w:rPr>
        <w:t>The method used is correlational quantitative which consists of two variables, namely family social support as a</w:t>
      </w:r>
      <w:r w:rsidR="00CF4B7A">
        <w:rPr>
          <w:lang w:val="en"/>
        </w:rPr>
        <w:t xml:space="preserve">n independent </w:t>
      </w:r>
      <w:r w:rsidRPr="00CA6E1B">
        <w:rPr>
          <w:lang w:val="en"/>
        </w:rPr>
        <w:t xml:space="preserve">variable and student engagement as a </w:t>
      </w:r>
      <w:r w:rsidR="00CF4B7A">
        <w:rPr>
          <w:lang w:val="en"/>
        </w:rPr>
        <w:t>dependent</w:t>
      </w:r>
      <w:r w:rsidRPr="00CA6E1B">
        <w:rPr>
          <w:lang w:val="en"/>
        </w:rPr>
        <w:t xml:space="preserve"> variable. This research was conducted at SDN </w:t>
      </w:r>
      <w:proofErr w:type="spellStart"/>
      <w:r w:rsidRPr="00CA6E1B">
        <w:rPr>
          <w:lang w:val="en"/>
        </w:rPr>
        <w:t>Jejeruk</w:t>
      </w:r>
      <w:proofErr w:type="spellEnd"/>
      <w:r w:rsidRPr="00CA6E1B">
        <w:rPr>
          <w:lang w:val="en"/>
        </w:rPr>
        <w:t xml:space="preserve">, </w:t>
      </w:r>
      <w:proofErr w:type="spellStart"/>
      <w:r w:rsidRPr="00CA6E1B">
        <w:rPr>
          <w:lang w:val="en"/>
        </w:rPr>
        <w:t>Blora</w:t>
      </w:r>
      <w:proofErr w:type="spellEnd"/>
      <w:r w:rsidRPr="00CA6E1B">
        <w:rPr>
          <w:lang w:val="en"/>
        </w:rPr>
        <w:t xml:space="preserve"> Regency,</w:t>
      </w:r>
      <w:r w:rsidR="007B4F15" w:rsidRPr="00CA6E1B">
        <w:rPr>
          <w:lang w:val="en"/>
        </w:rPr>
        <w:t xml:space="preserve"> Central Java Province</w:t>
      </w:r>
      <w:r w:rsidRPr="00CA6E1B">
        <w:rPr>
          <w:lang w:val="en"/>
        </w:rPr>
        <w:t xml:space="preserve"> using a total sampling of the entire population of 85 students. As revealed by </w:t>
      </w:r>
      <w:proofErr w:type="spellStart"/>
      <w:r w:rsidRPr="00CA6E1B">
        <w:rPr>
          <w:lang w:val="en"/>
        </w:rPr>
        <w:t>Arikunto</w:t>
      </w:r>
      <w:proofErr w:type="spellEnd"/>
      <w:r w:rsidRPr="00CA6E1B">
        <w:rPr>
          <w:lang w:val="en"/>
        </w:rPr>
        <w:t>, if the total population is less than 100 people, it is preferable to take all into samples so that the research is a population study (Jaya, 2010).</w:t>
      </w:r>
    </w:p>
    <w:p w14:paraId="54CC7E7A" w14:textId="381B9AA2" w:rsidR="0083301F" w:rsidRPr="00CA6E1B" w:rsidRDefault="0083301F" w:rsidP="0083301F">
      <w:pPr>
        <w:pStyle w:val="8ParagrafAwal-FirstParagraph"/>
      </w:pPr>
      <w:r w:rsidRPr="00CA6E1B">
        <w:rPr>
          <w:lang w:val="en"/>
        </w:rPr>
        <w:t>This research data collection method uses a psychological scale instrument arranged based on the theory used in the research variables. This instrument consists of two scales, namely 1) the student engagement scale prepared based on the theory of Fredricks et al (2004) which consists of the dimensions of behavioral engagement, emotional engagement</w:t>
      </w:r>
      <w:r w:rsidR="001E5B70">
        <w:rPr>
          <w:lang w:val="en"/>
        </w:rPr>
        <w:t>,</w:t>
      </w:r>
      <w:r w:rsidRPr="00CA6E1B">
        <w:rPr>
          <w:lang w:val="en"/>
        </w:rPr>
        <w:t xml:space="preserve"> and cognitive engagement and 2) the family social support scale which is arranged based on aspects of social support proposed by </w:t>
      </w:r>
      <w:proofErr w:type="spellStart"/>
      <w:r w:rsidRPr="00CA6E1B">
        <w:rPr>
          <w:lang w:val="en"/>
        </w:rPr>
        <w:t>Sarafino</w:t>
      </w:r>
      <w:proofErr w:type="spellEnd"/>
      <w:r w:rsidRPr="00CA6E1B">
        <w:rPr>
          <w:lang w:val="en"/>
        </w:rPr>
        <w:t xml:space="preserve"> in </w:t>
      </w:r>
      <w:proofErr w:type="spellStart"/>
      <w:r w:rsidRPr="00CA6E1B">
        <w:rPr>
          <w:lang w:val="en"/>
        </w:rPr>
        <w:t>Kusrini</w:t>
      </w:r>
      <w:proofErr w:type="spellEnd"/>
      <w:r w:rsidRPr="00CA6E1B">
        <w:rPr>
          <w:lang w:val="en"/>
        </w:rPr>
        <w:t xml:space="preserve"> &amp; </w:t>
      </w:r>
      <w:proofErr w:type="spellStart"/>
      <w:r w:rsidRPr="00CA6E1B">
        <w:rPr>
          <w:lang w:val="en"/>
        </w:rPr>
        <w:t>Prihartanti</w:t>
      </w:r>
      <w:proofErr w:type="spellEnd"/>
      <w:r w:rsidRPr="00CA6E1B">
        <w:rPr>
          <w:lang w:val="en"/>
        </w:rPr>
        <w:t xml:space="preserve"> (2014) which consists of emotional support, reward support, instrumental support, and information support.</w:t>
      </w:r>
    </w:p>
    <w:p w14:paraId="441CE59D" w14:textId="7BFDBAB3" w:rsidR="0083301F" w:rsidRPr="00CA6E1B" w:rsidRDefault="0083301F" w:rsidP="0083301F">
      <w:pPr>
        <w:pStyle w:val="8ParagrafAwal-FirstParagraph"/>
      </w:pPr>
      <w:r w:rsidRPr="00CA6E1B">
        <w:rPr>
          <w:lang w:val="en"/>
        </w:rPr>
        <w:t>The validity of this instrument is measured using the validity of the contract by consulting the instrument with</w:t>
      </w:r>
      <w:r w:rsidR="007B4F15" w:rsidRPr="00CA6E1B">
        <w:rPr>
          <w:lang w:val="en"/>
        </w:rPr>
        <w:t xml:space="preserve"> two</w:t>
      </w:r>
      <w:r w:rsidRPr="00CA6E1B">
        <w:rPr>
          <w:lang w:val="en"/>
        </w:rPr>
        <w:t xml:space="preserve"> experts to obtain an expert judgment after which it is tested in the field and produces valid items based on the </w:t>
      </w:r>
      <w:r w:rsidR="001E5B70">
        <w:rPr>
          <w:lang w:val="en"/>
        </w:rPr>
        <w:t>K</w:t>
      </w:r>
      <w:r w:rsidRPr="00CA6E1B">
        <w:rPr>
          <w:lang w:val="en"/>
        </w:rPr>
        <w:t>arl parson product</w:t>
      </w:r>
      <w:r w:rsidR="001E5B70">
        <w:rPr>
          <w:lang w:val="en"/>
        </w:rPr>
        <w:t>-</w:t>
      </w:r>
      <w:r w:rsidRPr="00CA6E1B">
        <w:rPr>
          <w:lang w:val="en"/>
        </w:rPr>
        <w:t xml:space="preserve">moment correlation validity test, after which a test is also carried out to detect whether the research instrument has provided consistent measurement results and </w:t>
      </w:r>
      <w:r w:rsidR="001E5B70">
        <w:rPr>
          <w:lang w:val="en"/>
        </w:rPr>
        <w:t>steady</w:t>
      </w:r>
      <w:r w:rsidRPr="00CA6E1B">
        <w:rPr>
          <w:lang w:val="en"/>
        </w:rPr>
        <w:t xml:space="preserve"> over time with the Cronbach's reliability test Alpha. </w:t>
      </w:r>
    </w:p>
    <w:p w14:paraId="52C032D8" w14:textId="5B58F94F" w:rsidR="0083301F" w:rsidRPr="00CA6E1B" w:rsidRDefault="0083301F" w:rsidP="0083301F">
      <w:pPr>
        <w:pStyle w:val="8ParagrafAwal-FirstParagraph"/>
      </w:pPr>
      <w:r w:rsidRPr="00CA6E1B">
        <w:rPr>
          <w:lang w:val="en"/>
        </w:rPr>
        <w:t>The results of the validity of the student engagement scale get 18 valid items because they have a table r value of &gt; 0.361 with a significance level of 5% and have received expert judgment while the Alpha Cronbach value is 0.802 so it is declared reliable. Similar results were also obtained on a family social support scale with 16 valid items and obtained a Cronbach Alpha value of 0.611 so it was declared reliable as well. Meanwhile, to find out the influence that arises between family social support on student engagement, it is analyzed with a simple linear regression technique with three forms of testing, namely the t</w:t>
      </w:r>
      <w:r w:rsidR="001E5B70">
        <w:rPr>
          <w:lang w:val="en"/>
        </w:rPr>
        <w:t>-</w:t>
      </w:r>
      <w:r w:rsidRPr="00CA6E1B">
        <w:rPr>
          <w:lang w:val="en"/>
        </w:rPr>
        <w:t>test, the F test</w:t>
      </w:r>
      <w:r w:rsidR="001E5B70">
        <w:rPr>
          <w:lang w:val="en"/>
        </w:rPr>
        <w:t>,</w:t>
      </w:r>
      <w:r w:rsidRPr="00CA6E1B">
        <w:rPr>
          <w:lang w:val="en"/>
        </w:rPr>
        <w:t xml:space="preserve"> and the coefficient of determination test (R</w:t>
      </w:r>
      <w:r w:rsidRPr="00CA6E1B">
        <w:rPr>
          <w:vertAlign w:val="superscript"/>
          <w:lang w:val="en"/>
        </w:rPr>
        <w:t>2</w:t>
      </w:r>
      <w:r w:rsidRPr="00CA6E1B">
        <w:rPr>
          <w:lang w:val="en"/>
        </w:rPr>
        <w:t>) but before that</w:t>
      </w:r>
      <w:r w:rsidR="001E5B70">
        <w:rPr>
          <w:lang w:val="en"/>
        </w:rPr>
        <w:t>,</w:t>
      </w:r>
      <w:r w:rsidRPr="00CA6E1B">
        <w:rPr>
          <w:lang w:val="en"/>
        </w:rPr>
        <w:t xml:space="preserve"> it is necessary to conduct a normality test and a linearity test to ensure that the data obtained are normally distributed to form a line</w:t>
      </w:r>
      <w:r w:rsidR="001E5B70">
        <w:rPr>
          <w:lang w:val="en"/>
        </w:rPr>
        <w:t>a</w:t>
      </w:r>
      <w:r w:rsidRPr="00CA6E1B">
        <w:rPr>
          <w:lang w:val="en"/>
        </w:rPr>
        <w:t>r relationship.</w:t>
      </w:r>
    </w:p>
    <w:p w14:paraId="2D859584" w14:textId="77777777" w:rsidR="00CA7F4C" w:rsidRPr="00CA6E1B" w:rsidRDefault="00C96B08" w:rsidP="001245A4">
      <w:pPr>
        <w:pStyle w:val="Judul1"/>
        <w:rPr>
          <w:lang w:val="id-ID" w:eastAsia="id-ID"/>
        </w:rPr>
      </w:pPr>
      <w:r w:rsidRPr="00CA6E1B">
        <w:rPr>
          <w:lang w:val="en"/>
        </w:rPr>
        <w:t>FINDINGS</w:t>
      </w:r>
    </w:p>
    <w:p w14:paraId="57E0F86A" w14:textId="37B6CD56" w:rsidR="001312E5" w:rsidRPr="00CA6E1B" w:rsidRDefault="00034961" w:rsidP="001312E5">
      <w:pPr>
        <w:pStyle w:val="8ParagrafAwal-FirstParagraph"/>
      </w:pPr>
      <w:r w:rsidRPr="00CA6E1B">
        <w:rPr>
          <w:lang w:val="en"/>
        </w:rPr>
        <w:t>The results of descriptive testing to determine the level of family social support and student engagement can be seen by the per</w:t>
      </w:r>
      <w:r w:rsidR="001E5B70">
        <w:rPr>
          <w:lang w:val="en"/>
        </w:rPr>
        <w:t xml:space="preserve"> </w:t>
      </w:r>
      <w:r w:rsidRPr="00CA6E1B">
        <w:rPr>
          <w:lang w:val="en"/>
        </w:rPr>
        <w:t>indicators from tables 1 and 2 below:</w:t>
      </w:r>
    </w:p>
    <w:p w14:paraId="06EACF5C" w14:textId="67072528" w:rsidR="00034961" w:rsidRPr="00CA6E1B" w:rsidRDefault="00034961" w:rsidP="001312E5">
      <w:pPr>
        <w:pStyle w:val="8ParagrafAwal-FirstParagraph"/>
        <w:jc w:val="center"/>
        <w:rPr>
          <w:b/>
          <w:bCs/>
        </w:rPr>
      </w:pPr>
      <w:r w:rsidRPr="00CA6E1B">
        <w:rPr>
          <w:b/>
          <w:bCs/>
          <w:lang w:val="en"/>
        </w:rPr>
        <w:t>Table 1</w:t>
      </w:r>
      <w:r w:rsidR="003F40B6" w:rsidRPr="00CA6E1B">
        <w:rPr>
          <w:b/>
          <w:lang w:val="en"/>
        </w:rPr>
        <w:t>.</w:t>
      </w:r>
      <w:r>
        <w:rPr>
          <w:lang w:val="en"/>
        </w:rPr>
        <w:t xml:space="preserve"> </w:t>
      </w:r>
      <w:r w:rsidRPr="00CA6E1B">
        <w:rPr>
          <w:b/>
          <w:bCs/>
          <w:lang w:val="en"/>
        </w:rPr>
        <w:t xml:space="preserve"> Family Social Support Level</w:t>
      </w:r>
    </w:p>
    <w:tbl>
      <w:tblPr>
        <w:tblW w:w="621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119"/>
        <w:gridCol w:w="992"/>
        <w:gridCol w:w="2099"/>
      </w:tblGrid>
      <w:tr w:rsidR="001312E5" w:rsidRPr="00CA6E1B" w14:paraId="13A0E7E1" w14:textId="77777777" w:rsidTr="001312E5">
        <w:trPr>
          <w:trHeight w:val="315"/>
          <w:jc w:val="center"/>
        </w:trPr>
        <w:tc>
          <w:tcPr>
            <w:tcW w:w="3119" w:type="dxa"/>
            <w:tcBorders>
              <w:bottom w:val="single" w:sz="4" w:space="0" w:color="auto"/>
            </w:tcBorders>
            <w:shd w:val="clear" w:color="auto" w:fill="auto"/>
            <w:noWrap/>
            <w:vAlign w:val="center"/>
            <w:hideMark/>
          </w:tcPr>
          <w:p w14:paraId="32EBF62E" w14:textId="77777777" w:rsidR="001312E5" w:rsidRPr="00CA6E1B" w:rsidRDefault="001312E5" w:rsidP="001312E5">
            <w:pPr>
              <w:pStyle w:val="8ParagrafAwal-FirstParagraph"/>
              <w:jc w:val="left"/>
              <w:rPr>
                <w:lang w:val="en-US"/>
              </w:rPr>
            </w:pPr>
            <w:r w:rsidRPr="00CA6E1B">
              <w:rPr>
                <w:lang w:val="en"/>
              </w:rPr>
              <w:t>Indicator</w:t>
            </w:r>
          </w:p>
        </w:tc>
        <w:tc>
          <w:tcPr>
            <w:tcW w:w="992" w:type="dxa"/>
            <w:tcBorders>
              <w:bottom w:val="single" w:sz="4" w:space="0" w:color="auto"/>
            </w:tcBorders>
            <w:shd w:val="clear" w:color="auto" w:fill="auto"/>
            <w:noWrap/>
            <w:vAlign w:val="center"/>
            <w:hideMark/>
          </w:tcPr>
          <w:p w14:paraId="2150162F" w14:textId="77777777" w:rsidR="001312E5" w:rsidRPr="00CA6E1B" w:rsidRDefault="001312E5" w:rsidP="001312E5">
            <w:pPr>
              <w:pStyle w:val="8ParagrafAwal-FirstParagraph"/>
              <w:jc w:val="left"/>
              <w:rPr>
                <w:lang w:val="en-US"/>
              </w:rPr>
            </w:pPr>
            <w:r w:rsidRPr="00CA6E1B">
              <w:rPr>
                <w:lang w:val="en"/>
              </w:rPr>
              <w:t>Mean</w:t>
            </w:r>
          </w:p>
        </w:tc>
        <w:tc>
          <w:tcPr>
            <w:tcW w:w="2099" w:type="dxa"/>
            <w:tcBorders>
              <w:bottom w:val="single" w:sz="4" w:space="0" w:color="auto"/>
            </w:tcBorders>
            <w:shd w:val="clear" w:color="auto" w:fill="auto"/>
            <w:noWrap/>
            <w:vAlign w:val="center"/>
            <w:hideMark/>
          </w:tcPr>
          <w:p w14:paraId="186FC9E4" w14:textId="77777777" w:rsidR="001312E5" w:rsidRPr="00CA6E1B" w:rsidRDefault="001312E5" w:rsidP="001312E5">
            <w:pPr>
              <w:pStyle w:val="8ParagrafAwal-FirstParagraph"/>
              <w:jc w:val="left"/>
              <w:rPr>
                <w:lang w:val="en-US"/>
              </w:rPr>
            </w:pPr>
            <w:r w:rsidRPr="00CA6E1B">
              <w:rPr>
                <w:lang w:val="en"/>
              </w:rPr>
              <w:t>Category</w:t>
            </w:r>
          </w:p>
        </w:tc>
      </w:tr>
      <w:tr w:rsidR="001312E5" w:rsidRPr="00CA6E1B" w14:paraId="573594F6" w14:textId="77777777" w:rsidTr="001312E5">
        <w:trPr>
          <w:trHeight w:val="315"/>
          <w:jc w:val="center"/>
        </w:trPr>
        <w:tc>
          <w:tcPr>
            <w:tcW w:w="3119" w:type="dxa"/>
            <w:tcBorders>
              <w:bottom w:val="nil"/>
            </w:tcBorders>
            <w:shd w:val="clear" w:color="auto" w:fill="auto"/>
            <w:noWrap/>
            <w:vAlign w:val="center"/>
            <w:hideMark/>
          </w:tcPr>
          <w:p w14:paraId="1EEC511F" w14:textId="77777777" w:rsidR="001312E5" w:rsidRPr="00CA6E1B" w:rsidRDefault="001312E5" w:rsidP="001312E5">
            <w:pPr>
              <w:pStyle w:val="8ParagrafAwal-FirstParagraph"/>
              <w:jc w:val="left"/>
              <w:rPr>
                <w:lang w:val="en-US"/>
              </w:rPr>
            </w:pPr>
            <w:r w:rsidRPr="00CA6E1B">
              <w:rPr>
                <w:lang w:val="en"/>
              </w:rPr>
              <w:t>Emotional Support</w:t>
            </w:r>
          </w:p>
        </w:tc>
        <w:tc>
          <w:tcPr>
            <w:tcW w:w="992" w:type="dxa"/>
            <w:tcBorders>
              <w:bottom w:val="nil"/>
            </w:tcBorders>
            <w:shd w:val="clear" w:color="auto" w:fill="auto"/>
            <w:noWrap/>
            <w:vAlign w:val="center"/>
            <w:hideMark/>
          </w:tcPr>
          <w:p w14:paraId="6AF0D672" w14:textId="77777777" w:rsidR="001312E5" w:rsidRPr="00CA6E1B" w:rsidRDefault="001312E5" w:rsidP="001312E5">
            <w:pPr>
              <w:pStyle w:val="8ParagrafAwal-FirstParagraph"/>
              <w:jc w:val="left"/>
              <w:rPr>
                <w:lang w:val="en-US"/>
              </w:rPr>
            </w:pPr>
            <w:r w:rsidRPr="00CA6E1B">
              <w:rPr>
                <w:lang w:val="en"/>
              </w:rPr>
              <w:t>4,3</w:t>
            </w:r>
          </w:p>
        </w:tc>
        <w:tc>
          <w:tcPr>
            <w:tcW w:w="2099" w:type="dxa"/>
            <w:tcBorders>
              <w:bottom w:val="nil"/>
            </w:tcBorders>
            <w:shd w:val="clear" w:color="auto" w:fill="auto"/>
            <w:noWrap/>
            <w:vAlign w:val="center"/>
            <w:hideMark/>
          </w:tcPr>
          <w:p w14:paraId="345FB87E" w14:textId="77777777" w:rsidR="001312E5" w:rsidRPr="00CA6E1B" w:rsidRDefault="001312E5" w:rsidP="001312E5">
            <w:pPr>
              <w:pStyle w:val="8ParagrafAwal-FirstParagraph"/>
              <w:jc w:val="left"/>
              <w:rPr>
                <w:lang w:val="en-US"/>
              </w:rPr>
            </w:pPr>
            <w:r w:rsidRPr="00CA6E1B">
              <w:rPr>
                <w:lang w:val="en"/>
              </w:rPr>
              <w:t>very high</w:t>
            </w:r>
          </w:p>
        </w:tc>
      </w:tr>
      <w:tr w:rsidR="001312E5" w:rsidRPr="00CA6E1B" w14:paraId="52E52184" w14:textId="77777777" w:rsidTr="001312E5">
        <w:trPr>
          <w:trHeight w:val="315"/>
          <w:jc w:val="center"/>
        </w:trPr>
        <w:tc>
          <w:tcPr>
            <w:tcW w:w="3119" w:type="dxa"/>
            <w:tcBorders>
              <w:top w:val="nil"/>
              <w:bottom w:val="nil"/>
            </w:tcBorders>
            <w:shd w:val="clear" w:color="auto" w:fill="auto"/>
            <w:noWrap/>
            <w:vAlign w:val="center"/>
            <w:hideMark/>
          </w:tcPr>
          <w:p w14:paraId="3DA07D61" w14:textId="77777777" w:rsidR="001312E5" w:rsidRPr="00CA6E1B" w:rsidRDefault="001312E5" w:rsidP="001312E5">
            <w:pPr>
              <w:pStyle w:val="8ParagrafAwal-FirstParagraph"/>
              <w:jc w:val="left"/>
              <w:rPr>
                <w:lang w:val="en-US"/>
              </w:rPr>
            </w:pPr>
            <w:r w:rsidRPr="00CA6E1B">
              <w:rPr>
                <w:lang w:val="en"/>
              </w:rPr>
              <w:t>Award Support</w:t>
            </w:r>
          </w:p>
        </w:tc>
        <w:tc>
          <w:tcPr>
            <w:tcW w:w="992" w:type="dxa"/>
            <w:tcBorders>
              <w:top w:val="nil"/>
              <w:bottom w:val="nil"/>
            </w:tcBorders>
            <w:shd w:val="clear" w:color="auto" w:fill="auto"/>
            <w:noWrap/>
            <w:vAlign w:val="center"/>
            <w:hideMark/>
          </w:tcPr>
          <w:p w14:paraId="50F6CE2D" w14:textId="77777777" w:rsidR="001312E5" w:rsidRPr="00CA6E1B" w:rsidRDefault="001312E5" w:rsidP="001312E5">
            <w:pPr>
              <w:pStyle w:val="8ParagrafAwal-FirstParagraph"/>
              <w:jc w:val="left"/>
              <w:rPr>
                <w:lang w:val="en-US"/>
              </w:rPr>
            </w:pPr>
            <w:r w:rsidRPr="00CA6E1B">
              <w:rPr>
                <w:lang w:val="en"/>
              </w:rPr>
              <w:t>3,8</w:t>
            </w:r>
          </w:p>
        </w:tc>
        <w:tc>
          <w:tcPr>
            <w:tcW w:w="2099" w:type="dxa"/>
            <w:tcBorders>
              <w:top w:val="nil"/>
              <w:bottom w:val="nil"/>
            </w:tcBorders>
            <w:shd w:val="clear" w:color="auto" w:fill="auto"/>
            <w:noWrap/>
            <w:vAlign w:val="center"/>
            <w:hideMark/>
          </w:tcPr>
          <w:p w14:paraId="27506951" w14:textId="7F126D63" w:rsidR="001312E5" w:rsidRPr="00CA6E1B" w:rsidRDefault="001E5B70" w:rsidP="001312E5">
            <w:pPr>
              <w:pStyle w:val="8ParagrafAwal-FirstParagraph"/>
              <w:jc w:val="left"/>
              <w:rPr>
                <w:lang w:val="en-US"/>
              </w:rPr>
            </w:pPr>
            <w:r>
              <w:rPr>
                <w:lang w:val="en-US"/>
              </w:rPr>
              <w:t>High</w:t>
            </w:r>
          </w:p>
        </w:tc>
      </w:tr>
      <w:tr w:rsidR="001312E5" w:rsidRPr="00CA6E1B" w14:paraId="06663A87" w14:textId="77777777" w:rsidTr="001312E5">
        <w:trPr>
          <w:trHeight w:val="315"/>
          <w:jc w:val="center"/>
        </w:trPr>
        <w:tc>
          <w:tcPr>
            <w:tcW w:w="3119" w:type="dxa"/>
            <w:tcBorders>
              <w:top w:val="nil"/>
              <w:bottom w:val="nil"/>
            </w:tcBorders>
            <w:shd w:val="clear" w:color="auto" w:fill="auto"/>
            <w:noWrap/>
            <w:vAlign w:val="center"/>
            <w:hideMark/>
          </w:tcPr>
          <w:p w14:paraId="3B439DAB" w14:textId="77777777" w:rsidR="001312E5" w:rsidRPr="00CA6E1B" w:rsidRDefault="001312E5" w:rsidP="001312E5">
            <w:pPr>
              <w:pStyle w:val="8ParagrafAwal-FirstParagraph"/>
              <w:jc w:val="left"/>
              <w:rPr>
                <w:lang w:val="en-US"/>
              </w:rPr>
            </w:pPr>
            <w:r w:rsidRPr="00CA6E1B">
              <w:rPr>
                <w:lang w:val="en"/>
              </w:rPr>
              <w:t>Instrumental Support</w:t>
            </w:r>
          </w:p>
        </w:tc>
        <w:tc>
          <w:tcPr>
            <w:tcW w:w="992" w:type="dxa"/>
            <w:tcBorders>
              <w:top w:val="nil"/>
              <w:bottom w:val="nil"/>
            </w:tcBorders>
            <w:shd w:val="clear" w:color="auto" w:fill="auto"/>
            <w:noWrap/>
            <w:vAlign w:val="center"/>
            <w:hideMark/>
          </w:tcPr>
          <w:p w14:paraId="2C04855C" w14:textId="77777777" w:rsidR="001312E5" w:rsidRPr="00CA6E1B" w:rsidRDefault="001312E5" w:rsidP="001312E5">
            <w:pPr>
              <w:pStyle w:val="8ParagrafAwal-FirstParagraph"/>
              <w:jc w:val="left"/>
              <w:rPr>
                <w:lang w:val="en-US"/>
              </w:rPr>
            </w:pPr>
            <w:r w:rsidRPr="00CA6E1B">
              <w:rPr>
                <w:lang w:val="en"/>
              </w:rPr>
              <w:t>3,8</w:t>
            </w:r>
          </w:p>
        </w:tc>
        <w:tc>
          <w:tcPr>
            <w:tcW w:w="2099" w:type="dxa"/>
            <w:tcBorders>
              <w:top w:val="nil"/>
              <w:bottom w:val="nil"/>
            </w:tcBorders>
            <w:shd w:val="clear" w:color="auto" w:fill="auto"/>
            <w:noWrap/>
            <w:vAlign w:val="center"/>
            <w:hideMark/>
          </w:tcPr>
          <w:p w14:paraId="447CE4E7" w14:textId="199327BD" w:rsidR="001312E5" w:rsidRPr="00CA6E1B" w:rsidRDefault="001E5B70" w:rsidP="001312E5">
            <w:pPr>
              <w:pStyle w:val="8ParagrafAwal-FirstParagraph"/>
              <w:jc w:val="left"/>
              <w:rPr>
                <w:lang w:val="en-US"/>
              </w:rPr>
            </w:pPr>
            <w:r>
              <w:rPr>
                <w:lang w:val="en-US"/>
              </w:rPr>
              <w:t>High</w:t>
            </w:r>
          </w:p>
        </w:tc>
      </w:tr>
      <w:tr w:rsidR="001312E5" w:rsidRPr="00CA6E1B" w14:paraId="1711B737" w14:textId="77777777" w:rsidTr="001312E5">
        <w:trPr>
          <w:trHeight w:val="315"/>
          <w:jc w:val="center"/>
        </w:trPr>
        <w:tc>
          <w:tcPr>
            <w:tcW w:w="3119" w:type="dxa"/>
            <w:tcBorders>
              <w:top w:val="nil"/>
            </w:tcBorders>
            <w:shd w:val="clear" w:color="auto" w:fill="auto"/>
            <w:noWrap/>
            <w:vAlign w:val="center"/>
            <w:hideMark/>
          </w:tcPr>
          <w:p w14:paraId="1AE000E5" w14:textId="77777777" w:rsidR="001312E5" w:rsidRPr="00CA6E1B" w:rsidRDefault="001312E5" w:rsidP="001312E5">
            <w:pPr>
              <w:pStyle w:val="8ParagrafAwal-FirstParagraph"/>
              <w:jc w:val="left"/>
              <w:rPr>
                <w:lang w:val="en-US"/>
              </w:rPr>
            </w:pPr>
            <w:r w:rsidRPr="00CA6E1B">
              <w:rPr>
                <w:lang w:val="en"/>
              </w:rPr>
              <w:t>Information Support</w:t>
            </w:r>
          </w:p>
        </w:tc>
        <w:tc>
          <w:tcPr>
            <w:tcW w:w="992" w:type="dxa"/>
            <w:tcBorders>
              <w:top w:val="nil"/>
            </w:tcBorders>
            <w:shd w:val="clear" w:color="auto" w:fill="auto"/>
            <w:noWrap/>
            <w:vAlign w:val="center"/>
            <w:hideMark/>
          </w:tcPr>
          <w:p w14:paraId="1E8F1F58" w14:textId="77777777" w:rsidR="001312E5" w:rsidRPr="00CA6E1B" w:rsidRDefault="001312E5" w:rsidP="001312E5">
            <w:pPr>
              <w:pStyle w:val="8ParagrafAwal-FirstParagraph"/>
              <w:jc w:val="left"/>
              <w:rPr>
                <w:lang w:val="en-US"/>
              </w:rPr>
            </w:pPr>
            <w:r w:rsidRPr="00CA6E1B">
              <w:rPr>
                <w:lang w:val="en"/>
              </w:rPr>
              <w:t>4,1</w:t>
            </w:r>
          </w:p>
        </w:tc>
        <w:tc>
          <w:tcPr>
            <w:tcW w:w="2099" w:type="dxa"/>
            <w:tcBorders>
              <w:top w:val="nil"/>
            </w:tcBorders>
            <w:shd w:val="clear" w:color="auto" w:fill="auto"/>
            <w:noWrap/>
            <w:vAlign w:val="center"/>
            <w:hideMark/>
          </w:tcPr>
          <w:p w14:paraId="73B237C0" w14:textId="4C790DE4" w:rsidR="001312E5" w:rsidRPr="00CA6E1B" w:rsidRDefault="001E5B70" w:rsidP="001312E5">
            <w:pPr>
              <w:pStyle w:val="8ParagrafAwal-FirstParagraph"/>
              <w:jc w:val="left"/>
              <w:rPr>
                <w:lang w:val="en-US"/>
              </w:rPr>
            </w:pPr>
            <w:r>
              <w:rPr>
                <w:lang w:val="en-US"/>
              </w:rPr>
              <w:t xml:space="preserve">High </w:t>
            </w:r>
          </w:p>
        </w:tc>
      </w:tr>
      <w:tr w:rsidR="001312E5" w:rsidRPr="00CA6E1B" w14:paraId="3893F423" w14:textId="77777777" w:rsidTr="001312E5">
        <w:trPr>
          <w:trHeight w:val="315"/>
          <w:jc w:val="center"/>
        </w:trPr>
        <w:tc>
          <w:tcPr>
            <w:tcW w:w="3119" w:type="dxa"/>
            <w:tcBorders>
              <w:top w:val="nil"/>
            </w:tcBorders>
            <w:shd w:val="clear" w:color="auto" w:fill="auto"/>
            <w:noWrap/>
            <w:vAlign w:val="center"/>
          </w:tcPr>
          <w:p w14:paraId="1DAE7334" w14:textId="77777777" w:rsidR="001312E5" w:rsidRPr="00CA6E1B" w:rsidRDefault="001312E5" w:rsidP="001312E5">
            <w:pPr>
              <w:pStyle w:val="8ParagrafAwal-FirstParagraph"/>
              <w:jc w:val="left"/>
              <w:rPr>
                <w:lang w:val="en-US"/>
              </w:rPr>
            </w:pPr>
            <w:r w:rsidRPr="00CA6E1B">
              <w:rPr>
                <w:b/>
                <w:lang w:val="en"/>
              </w:rPr>
              <w:t>Overall Average</w:t>
            </w:r>
          </w:p>
        </w:tc>
        <w:tc>
          <w:tcPr>
            <w:tcW w:w="992" w:type="dxa"/>
            <w:tcBorders>
              <w:top w:val="nil"/>
            </w:tcBorders>
            <w:shd w:val="clear" w:color="auto" w:fill="auto"/>
            <w:noWrap/>
            <w:vAlign w:val="center"/>
          </w:tcPr>
          <w:p w14:paraId="48864A89" w14:textId="77777777" w:rsidR="001312E5" w:rsidRPr="00CA6E1B" w:rsidRDefault="001312E5" w:rsidP="001312E5">
            <w:pPr>
              <w:pStyle w:val="8ParagrafAwal-FirstParagraph"/>
              <w:jc w:val="left"/>
              <w:rPr>
                <w:lang w:val="en-US"/>
              </w:rPr>
            </w:pPr>
            <w:r w:rsidRPr="00CA6E1B">
              <w:rPr>
                <w:b/>
                <w:lang w:val="en"/>
              </w:rPr>
              <w:t>4,0</w:t>
            </w:r>
          </w:p>
        </w:tc>
        <w:tc>
          <w:tcPr>
            <w:tcW w:w="2099" w:type="dxa"/>
            <w:tcBorders>
              <w:top w:val="nil"/>
            </w:tcBorders>
            <w:shd w:val="clear" w:color="auto" w:fill="auto"/>
            <w:noWrap/>
            <w:vAlign w:val="center"/>
          </w:tcPr>
          <w:p w14:paraId="62E64FE5" w14:textId="07542726" w:rsidR="001312E5" w:rsidRPr="001E5B70" w:rsidRDefault="001E5B70" w:rsidP="001312E5">
            <w:pPr>
              <w:pStyle w:val="8ParagrafAwal-FirstParagraph"/>
              <w:jc w:val="left"/>
              <w:rPr>
                <w:b/>
                <w:bCs/>
                <w:lang w:val="en-US"/>
              </w:rPr>
            </w:pPr>
            <w:r w:rsidRPr="001E5B70">
              <w:rPr>
                <w:b/>
                <w:bCs/>
                <w:lang w:val="en-US"/>
              </w:rPr>
              <w:t>High</w:t>
            </w:r>
          </w:p>
        </w:tc>
      </w:tr>
    </w:tbl>
    <w:p w14:paraId="69BD2F00" w14:textId="77777777" w:rsidR="001312E5" w:rsidRPr="00CA6E1B" w:rsidRDefault="001312E5" w:rsidP="00034961">
      <w:pPr>
        <w:pStyle w:val="8ParagrafAwal-FirstParagraph"/>
      </w:pPr>
    </w:p>
    <w:p w14:paraId="285D6770" w14:textId="57D32ABB" w:rsidR="001312E5" w:rsidRDefault="001312E5" w:rsidP="001312E5">
      <w:pPr>
        <w:pStyle w:val="8ParagrafAwal-FirstParagraph"/>
        <w:jc w:val="center"/>
      </w:pPr>
    </w:p>
    <w:p w14:paraId="5B1B237F" w14:textId="0D9744A8" w:rsidR="00750321" w:rsidRDefault="00750321" w:rsidP="00750321">
      <w:pPr>
        <w:pStyle w:val="TeksIsi"/>
        <w:rPr>
          <w:lang w:val="id-ID" w:eastAsia="id-ID"/>
        </w:rPr>
      </w:pPr>
    </w:p>
    <w:p w14:paraId="7F31A97C" w14:textId="47F61CE2" w:rsidR="00750321" w:rsidRDefault="00750321" w:rsidP="00750321">
      <w:pPr>
        <w:pStyle w:val="TeksIsi"/>
        <w:rPr>
          <w:lang w:val="id-ID" w:eastAsia="id-ID"/>
        </w:rPr>
      </w:pPr>
    </w:p>
    <w:p w14:paraId="47BEE657" w14:textId="3EF7F0D6" w:rsidR="00750321" w:rsidRDefault="00750321" w:rsidP="00750321">
      <w:pPr>
        <w:pStyle w:val="TeksIsi"/>
        <w:rPr>
          <w:lang w:val="id-ID" w:eastAsia="id-ID"/>
        </w:rPr>
      </w:pPr>
    </w:p>
    <w:p w14:paraId="62479AF5" w14:textId="0DC21DE1" w:rsidR="00034961" w:rsidRPr="00CA6E1B" w:rsidRDefault="00034961" w:rsidP="001312E5">
      <w:pPr>
        <w:pStyle w:val="8ParagrafAwal-FirstParagraph"/>
        <w:jc w:val="center"/>
        <w:rPr>
          <w:b/>
          <w:bCs/>
          <w:lang w:val="en-US"/>
        </w:rPr>
      </w:pPr>
      <w:r w:rsidRPr="00CA6E1B">
        <w:rPr>
          <w:b/>
          <w:bCs/>
          <w:lang w:val="en"/>
        </w:rPr>
        <w:lastRenderedPageBreak/>
        <w:t>Table 2</w:t>
      </w:r>
      <w:r w:rsidR="003F40B6" w:rsidRPr="00CA6E1B">
        <w:rPr>
          <w:b/>
          <w:lang w:val="en"/>
        </w:rPr>
        <w:t>.</w:t>
      </w:r>
      <w:r>
        <w:rPr>
          <w:lang w:val="en"/>
        </w:rPr>
        <w:t xml:space="preserve"> </w:t>
      </w:r>
      <w:r w:rsidRPr="00CA6E1B">
        <w:rPr>
          <w:b/>
          <w:bCs/>
          <w:lang w:val="en"/>
        </w:rPr>
        <w:t xml:space="preserve"> Student Engagement Level</w:t>
      </w:r>
    </w:p>
    <w:tbl>
      <w:tblPr>
        <w:tblW w:w="7513" w:type="dxa"/>
        <w:jc w:val="center"/>
        <w:tblLook w:val="04A0" w:firstRow="1" w:lastRow="0" w:firstColumn="1" w:lastColumn="0" w:noHBand="0" w:noVBand="1"/>
      </w:tblPr>
      <w:tblGrid>
        <w:gridCol w:w="3119"/>
        <w:gridCol w:w="1441"/>
        <w:gridCol w:w="2953"/>
      </w:tblGrid>
      <w:tr w:rsidR="001312E5" w:rsidRPr="00CA6E1B" w14:paraId="23317B89" w14:textId="77777777" w:rsidTr="001312E5">
        <w:trPr>
          <w:trHeight w:val="315"/>
          <w:jc w:val="center"/>
        </w:trPr>
        <w:tc>
          <w:tcPr>
            <w:tcW w:w="3119" w:type="dxa"/>
            <w:tcBorders>
              <w:top w:val="single" w:sz="4" w:space="0" w:color="auto"/>
              <w:bottom w:val="single" w:sz="4" w:space="0" w:color="auto"/>
            </w:tcBorders>
            <w:shd w:val="clear" w:color="auto" w:fill="auto"/>
            <w:noWrap/>
            <w:vAlign w:val="center"/>
            <w:hideMark/>
          </w:tcPr>
          <w:p w14:paraId="0FE1FE99" w14:textId="77777777" w:rsidR="001312E5" w:rsidRPr="00CA6E1B" w:rsidRDefault="001312E5" w:rsidP="001312E5">
            <w:pPr>
              <w:pStyle w:val="TeksIsi"/>
              <w:jc w:val="center"/>
              <w:rPr>
                <w:lang w:eastAsia="id-ID"/>
              </w:rPr>
            </w:pPr>
            <w:r w:rsidRPr="00CA6E1B">
              <w:rPr>
                <w:lang w:val="en"/>
              </w:rPr>
              <w:t>Indicator</w:t>
            </w:r>
          </w:p>
        </w:tc>
        <w:tc>
          <w:tcPr>
            <w:tcW w:w="1441" w:type="dxa"/>
            <w:tcBorders>
              <w:top w:val="single" w:sz="4" w:space="0" w:color="auto"/>
              <w:bottom w:val="single" w:sz="4" w:space="0" w:color="auto"/>
            </w:tcBorders>
            <w:shd w:val="clear" w:color="auto" w:fill="auto"/>
            <w:noWrap/>
            <w:vAlign w:val="center"/>
            <w:hideMark/>
          </w:tcPr>
          <w:p w14:paraId="6BF0FB10" w14:textId="77777777" w:rsidR="001312E5" w:rsidRPr="00CA6E1B" w:rsidRDefault="001312E5" w:rsidP="001312E5">
            <w:pPr>
              <w:pStyle w:val="TeksIsi"/>
              <w:jc w:val="center"/>
              <w:rPr>
                <w:lang w:eastAsia="id-ID"/>
              </w:rPr>
            </w:pPr>
            <w:r w:rsidRPr="00CA6E1B">
              <w:rPr>
                <w:lang w:val="en"/>
              </w:rPr>
              <w:t>Mean</w:t>
            </w:r>
          </w:p>
        </w:tc>
        <w:tc>
          <w:tcPr>
            <w:tcW w:w="2953" w:type="dxa"/>
            <w:tcBorders>
              <w:top w:val="single" w:sz="4" w:space="0" w:color="auto"/>
              <w:bottom w:val="single" w:sz="4" w:space="0" w:color="auto"/>
            </w:tcBorders>
            <w:shd w:val="clear" w:color="auto" w:fill="auto"/>
            <w:noWrap/>
            <w:vAlign w:val="center"/>
            <w:hideMark/>
          </w:tcPr>
          <w:p w14:paraId="16DC7998" w14:textId="77777777" w:rsidR="001312E5" w:rsidRPr="00CA6E1B" w:rsidRDefault="001312E5" w:rsidP="001312E5">
            <w:pPr>
              <w:pStyle w:val="TeksIsi"/>
              <w:jc w:val="center"/>
              <w:rPr>
                <w:lang w:eastAsia="id-ID"/>
              </w:rPr>
            </w:pPr>
            <w:r w:rsidRPr="00CA6E1B">
              <w:rPr>
                <w:lang w:val="en"/>
              </w:rPr>
              <w:t>Category</w:t>
            </w:r>
          </w:p>
        </w:tc>
      </w:tr>
      <w:tr w:rsidR="001312E5" w:rsidRPr="00CA6E1B" w14:paraId="56260952" w14:textId="77777777" w:rsidTr="001312E5">
        <w:trPr>
          <w:trHeight w:val="315"/>
          <w:jc w:val="center"/>
        </w:trPr>
        <w:tc>
          <w:tcPr>
            <w:tcW w:w="3119" w:type="dxa"/>
            <w:tcBorders>
              <w:top w:val="single" w:sz="4" w:space="0" w:color="auto"/>
            </w:tcBorders>
            <w:shd w:val="clear" w:color="auto" w:fill="auto"/>
            <w:noWrap/>
            <w:vAlign w:val="center"/>
            <w:hideMark/>
          </w:tcPr>
          <w:p w14:paraId="3C5CFCE7" w14:textId="77777777" w:rsidR="001312E5" w:rsidRPr="00CA6E1B" w:rsidRDefault="001312E5" w:rsidP="001312E5">
            <w:pPr>
              <w:pStyle w:val="TeksIsi"/>
              <w:ind w:firstLine="0"/>
              <w:jc w:val="center"/>
              <w:rPr>
                <w:lang w:eastAsia="id-ID"/>
              </w:rPr>
            </w:pPr>
            <w:r w:rsidRPr="00CA6E1B">
              <w:rPr>
                <w:lang w:val="en"/>
              </w:rPr>
              <w:t>behavioral engagement</w:t>
            </w:r>
          </w:p>
        </w:tc>
        <w:tc>
          <w:tcPr>
            <w:tcW w:w="1441" w:type="dxa"/>
            <w:tcBorders>
              <w:top w:val="single" w:sz="4" w:space="0" w:color="auto"/>
            </w:tcBorders>
            <w:shd w:val="clear" w:color="auto" w:fill="auto"/>
            <w:noWrap/>
            <w:vAlign w:val="center"/>
            <w:hideMark/>
          </w:tcPr>
          <w:p w14:paraId="565F045B" w14:textId="77777777" w:rsidR="001312E5" w:rsidRPr="00CA6E1B" w:rsidRDefault="001312E5" w:rsidP="001312E5">
            <w:pPr>
              <w:pStyle w:val="TeksIsi"/>
              <w:jc w:val="center"/>
              <w:rPr>
                <w:lang w:eastAsia="id-ID"/>
              </w:rPr>
            </w:pPr>
            <w:r w:rsidRPr="00CA6E1B">
              <w:rPr>
                <w:lang w:val="en"/>
              </w:rPr>
              <w:t>4,2</w:t>
            </w:r>
          </w:p>
        </w:tc>
        <w:tc>
          <w:tcPr>
            <w:tcW w:w="2953" w:type="dxa"/>
            <w:tcBorders>
              <w:top w:val="single" w:sz="4" w:space="0" w:color="auto"/>
            </w:tcBorders>
            <w:shd w:val="clear" w:color="auto" w:fill="auto"/>
            <w:noWrap/>
            <w:vAlign w:val="center"/>
            <w:hideMark/>
          </w:tcPr>
          <w:p w14:paraId="1636FA1E" w14:textId="77777777" w:rsidR="001312E5" w:rsidRPr="00CA6E1B" w:rsidRDefault="001312E5" w:rsidP="001312E5">
            <w:pPr>
              <w:pStyle w:val="TeksIsi"/>
              <w:jc w:val="center"/>
              <w:rPr>
                <w:lang w:eastAsia="id-ID"/>
              </w:rPr>
            </w:pPr>
            <w:r w:rsidRPr="00CA6E1B">
              <w:rPr>
                <w:lang w:val="en"/>
              </w:rPr>
              <w:t>very high</w:t>
            </w:r>
          </w:p>
        </w:tc>
      </w:tr>
      <w:tr w:rsidR="001312E5" w:rsidRPr="00CA6E1B" w14:paraId="3298076D" w14:textId="77777777" w:rsidTr="001312E5">
        <w:trPr>
          <w:trHeight w:val="315"/>
          <w:jc w:val="center"/>
        </w:trPr>
        <w:tc>
          <w:tcPr>
            <w:tcW w:w="3119" w:type="dxa"/>
            <w:shd w:val="clear" w:color="auto" w:fill="auto"/>
            <w:noWrap/>
            <w:vAlign w:val="center"/>
            <w:hideMark/>
          </w:tcPr>
          <w:p w14:paraId="0C406004" w14:textId="77777777" w:rsidR="001312E5" w:rsidRPr="00CA6E1B" w:rsidRDefault="001312E5" w:rsidP="001312E5">
            <w:pPr>
              <w:pStyle w:val="TeksIsi"/>
              <w:ind w:firstLine="0"/>
              <w:jc w:val="center"/>
              <w:rPr>
                <w:lang w:eastAsia="id-ID"/>
              </w:rPr>
            </w:pPr>
            <w:r w:rsidRPr="00CA6E1B">
              <w:rPr>
                <w:lang w:val="en"/>
              </w:rPr>
              <w:t>emotional engagement</w:t>
            </w:r>
          </w:p>
        </w:tc>
        <w:tc>
          <w:tcPr>
            <w:tcW w:w="1441" w:type="dxa"/>
            <w:shd w:val="clear" w:color="auto" w:fill="auto"/>
            <w:noWrap/>
            <w:vAlign w:val="center"/>
            <w:hideMark/>
          </w:tcPr>
          <w:p w14:paraId="1CB02909" w14:textId="77777777" w:rsidR="001312E5" w:rsidRPr="00CA6E1B" w:rsidRDefault="001312E5" w:rsidP="001312E5">
            <w:pPr>
              <w:pStyle w:val="TeksIsi"/>
              <w:jc w:val="center"/>
              <w:rPr>
                <w:lang w:eastAsia="id-ID"/>
              </w:rPr>
            </w:pPr>
            <w:r w:rsidRPr="00CA6E1B">
              <w:rPr>
                <w:lang w:val="en"/>
              </w:rPr>
              <w:t>4,2</w:t>
            </w:r>
          </w:p>
        </w:tc>
        <w:tc>
          <w:tcPr>
            <w:tcW w:w="2953" w:type="dxa"/>
            <w:shd w:val="clear" w:color="auto" w:fill="auto"/>
            <w:noWrap/>
            <w:vAlign w:val="center"/>
            <w:hideMark/>
          </w:tcPr>
          <w:p w14:paraId="2D22FEDC" w14:textId="77777777" w:rsidR="001312E5" w:rsidRPr="00CA6E1B" w:rsidRDefault="001312E5" w:rsidP="001312E5">
            <w:pPr>
              <w:pStyle w:val="TeksIsi"/>
              <w:jc w:val="center"/>
              <w:rPr>
                <w:lang w:eastAsia="id-ID"/>
              </w:rPr>
            </w:pPr>
            <w:r w:rsidRPr="00CA6E1B">
              <w:rPr>
                <w:lang w:val="en"/>
              </w:rPr>
              <w:t>very high</w:t>
            </w:r>
          </w:p>
        </w:tc>
      </w:tr>
      <w:tr w:rsidR="001312E5" w:rsidRPr="00CA6E1B" w14:paraId="1CF7C39C" w14:textId="77777777" w:rsidTr="001312E5">
        <w:trPr>
          <w:trHeight w:val="315"/>
          <w:jc w:val="center"/>
        </w:trPr>
        <w:tc>
          <w:tcPr>
            <w:tcW w:w="3119" w:type="dxa"/>
            <w:tcBorders>
              <w:bottom w:val="single" w:sz="4" w:space="0" w:color="auto"/>
            </w:tcBorders>
            <w:shd w:val="clear" w:color="auto" w:fill="auto"/>
            <w:noWrap/>
            <w:vAlign w:val="center"/>
            <w:hideMark/>
          </w:tcPr>
          <w:p w14:paraId="0D61C1B5" w14:textId="77777777" w:rsidR="001312E5" w:rsidRPr="00CA6E1B" w:rsidRDefault="001312E5" w:rsidP="001312E5">
            <w:pPr>
              <w:pStyle w:val="TeksIsi"/>
              <w:ind w:firstLine="0"/>
              <w:jc w:val="center"/>
              <w:rPr>
                <w:lang w:eastAsia="id-ID"/>
              </w:rPr>
            </w:pPr>
            <w:r w:rsidRPr="00CA6E1B">
              <w:rPr>
                <w:lang w:val="en"/>
              </w:rPr>
              <w:t>cognitive engagement</w:t>
            </w:r>
          </w:p>
        </w:tc>
        <w:tc>
          <w:tcPr>
            <w:tcW w:w="1441" w:type="dxa"/>
            <w:tcBorders>
              <w:bottom w:val="single" w:sz="4" w:space="0" w:color="auto"/>
            </w:tcBorders>
            <w:shd w:val="clear" w:color="auto" w:fill="auto"/>
            <w:noWrap/>
            <w:vAlign w:val="center"/>
            <w:hideMark/>
          </w:tcPr>
          <w:p w14:paraId="7A50FFD0" w14:textId="77777777" w:rsidR="001312E5" w:rsidRPr="00CA6E1B" w:rsidRDefault="001312E5" w:rsidP="001312E5">
            <w:pPr>
              <w:pStyle w:val="TeksIsi"/>
              <w:jc w:val="center"/>
              <w:rPr>
                <w:lang w:eastAsia="id-ID"/>
              </w:rPr>
            </w:pPr>
            <w:r w:rsidRPr="00CA6E1B">
              <w:rPr>
                <w:lang w:val="en"/>
              </w:rPr>
              <w:t>3,2</w:t>
            </w:r>
          </w:p>
        </w:tc>
        <w:tc>
          <w:tcPr>
            <w:tcW w:w="2953" w:type="dxa"/>
            <w:tcBorders>
              <w:bottom w:val="single" w:sz="4" w:space="0" w:color="auto"/>
            </w:tcBorders>
            <w:shd w:val="clear" w:color="auto" w:fill="auto"/>
            <w:noWrap/>
            <w:vAlign w:val="center"/>
            <w:hideMark/>
          </w:tcPr>
          <w:p w14:paraId="1072BE35" w14:textId="2B59C95C" w:rsidR="001312E5" w:rsidRPr="00CA6E1B" w:rsidRDefault="001E5B70" w:rsidP="001312E5">
            <w:pPr>
              <w:pStyle w:val="TeksIsi"/>
              <w:jc w:val="center"/>
              <w:rPr>
                <w:lang w:eastAsia="id-ID"/>
              </w:rPr>
            </w:pPr>
            <w:r>
              <w:t>medium</w:t>
            </w:r>
          </w:p>
        </w:tc>
      </w:tr>
      <w:tr w:rsidR="001312E5" w:rsidRPr="00CA6E1B" w14:paraId="41AF3CDF" w14:textId="77777777" w:rsidTr="001312E5">
        <w:trPr>
          <w:trHeight w:val="315"/>
          <w:jc w:val="center"/>
        </w:trPr>
        <w:tc>
          <w:tcPr>
            <w:tcW w:w="3119" w:type="dxa"/>
            <w:tcBorders>
              <w:bottom w:val="single" w:sz="4" w:space="0" w:color="auto"/>
            </w:tcBorders>
            <w:shd w:val="clear" w:color="auto" w:fill="auto"/>
            <w:noWrap/>
            <w:vAlign w:val="center"/>
          </w:tcPr>
          <w:p w14:paraId="6817EEAB" w14:textId="77777777" w:rsidR="001312E5" w:rsidRPr="00CA6E1B" w:rsidRDefault="001312E5" w:rsidP="001312E5">
            <w:pPr>
              <w:pStyle w:val="TeksIsi"/>
              <w:ind w:firstLine="0"/>
              <w:jc w:val="center"/>
              <w:rPr>
                <w:b/>
                <w:bCs/>
                <w:lang w:eastAsia="id-ID"/>
              </w:rPr>
            </w:pPr>
            <w:r w:rsidRPr="00CA6E1B">
              <w:rPr>
                <w:b/>
                <w:lang w:val="en"/>
              </w:rPr>
              <w:t>Overall Average</w:t>
            </w:r>
          </w:p>
        </w:tc>
        <w:tc>
          <w:tcPr>
            <w:tcW w:w="1441" w:type="dxa"/>
            <w:tcBorders>
              <w:bottom w:val="single" w:sz="4" w:space="0" w:color="auto"/>
            </w:tcBorders>
            <w:shd w:val="clear" w:color="auto" w:fill="auto"/>
            <w:noWrap/>
            <w:vAlign w:val="center"/>
          </w:tcPr>
          <w:p w14:paraId="792BFC65" w14:textId="77777777" w:rsidR="001312E5" w:rsidRPr="00CA6E1B" w:rsidRDefault="001312E5" w:rsidP="001312E5">
            <w:pPr>
              <w:pStyle w:val="TeksIsi"/>
              <w:jc w:val="center"/>
              <w:rPr>
                <w:lang w:eastAsia="id-ID"/>
              </w:rPr>
            </w:pPr>
            <w:r w:rsidRPr="00CA6E1B">
              <w:rPr>
                <w:b/>
                <w:lang w:val="en"/>
              </w:rPr>
              <w:t>3,9</w:t>
            </w:r>
          </w:p>
        </w:tc>
        <w:tc>
          <w:tcPr>
            <w:tcW w:w="2953" w:type="dxa"/>
            <w:tcBorders>
              <w:bottom w:val="single" w:sz="4" w:space="0" w:color="auto"/>
            </w:tcBorders>
            <w:shd w:val="clear" w:color="auto" w:fill="auto"/>
            <w:noWrap/>
            <w:vAlign w:val="center"/>
          </w:tcPr>
          <w:p w14:paraId="277EAC93" w14:textId="1F3FA28D" w:rsidR="001312E5" w:rsidRPr="001E5B70" w:rsidRDefault="001E5B70" w:rsidP="001312E5">
            <w:pPr>
              <w:pStyle w:val="TeksIsi"/>
              <w:jc w:val="center"/>
              <w:rPr>
                <w:b/>
                <w:bCs/>
                <w:lang w:eastAsia="id-ID"/>
              </w:rPr>
            </w:pPr>
            <w:r w:rsidRPr="001E5B70">
              <w:rPr>
                <w:b/>
                <w:bCs/>
              </w:rPr>
              <w:t xml:space="preserve">High </w:t>
            </w:r>
          </w:p>
        </w:tc>
      </w:tr>
    </w:tbl>
    <w:p w14:paraId="1C08A846" w14:textId="5392B7F3" w:rsidR="00034961" w:rsidRPr="00CA6E1B" w:rsidRDefault="00034961" w:rsidP="00034961">
      <w:pPr>
        <w:pStyle w:val="8ParagrafAwal-FirstParagraph"/>
        <w:rPr>
          <w:lang w:val="en-US"/>
        </w:rPr>
      </w:pPr>
    </w:p>
    <w:p w14:paraId="132C43EC" w14:textId="43845246" w:rsidR="00034961" w:rsidRPr="00CA6E1B" w:rsidRDefault="00034961" w:rsidP="00034961">
      <w:pPr>
        <w:pStyle w:val="8ParagrafAwal-FirstParagraph"/>
      </w:pPr>
      <w:r w:rsidRPr="00CA6E1B">
        <w:rPr>
          <w:lang w:val="en"/>
        </w:rPr>
        <w:t xml:space="preserve">From tables 1 and 2, it can be found that the level of family social support and student engagement at SDN </w:t>
      </w:r>
      <w:proofErr w:type="spellStart"/>
      <w:r w:rsidRPr="00CA6E1B">
        <w:rPr>
          <w:lang w:val="en"/>
        </w:rPr>
        <w:t>Jejeruk</w:t>
      </w:r>
      <w:proofErr w:type="spellEnd"/>
      <w:r w:rsidRPr="00CA6E1B">
        <w:rPr>
          <w:lang w:val="en"/>
        </w:rPr>
        <w:t xml:space="preserve"> are both in high positions. Furthermore, the normality test and linearity test are used to obtain regression analysis results that are reliable, normally distributed</w:t>
      </w:r>
      <w:r w:rsidR="001E5B70">
        <w:rPr>
          <w:lang w:val="en"/>
        </w:rPr>
        <w:t>,</w:t>
      </w:r>
      <w:r w:rsidRPr="00CA6E1B">
        <w:rPr>
          <w:lang w:val="en"/>
        </w:rPr>
        <w:t xml:space="preserve"> and have a linear relationship as a prerequisite in hypothesis testing. The following are the results of the data normality test. </w:t>
      </w:r>
    </w:p>
    <w:p w14:paraId="4A79363D" w14:textId="7D3193C7" w:rsidR="003F40B6" w:rsidRPr="00CA6E1B" w:rsidRDefault="003F40B6" w:rsidP="003F40B6">
      <w:pPr>
        <w:pStyle w:val="TeksIsi"/>
        <w:jc w:val="center"/>
        <w:rPr>
          <w:b/>
          <w:bCs/>
          <w:lang w:val="id-ID" w:eastAsia="id-ID"/>
        </w:rPr>
      </w:pPr>
      <w:r w:rsidRPr="00CA6E1B">
        <w:rPr>
          <w:b/>
          <w:lang w:val="en"/>
        </w:rPr>
        <w:t>Table 3.</w:t>
      </w:r>
      <w:r>
        <w:rPr>
          <w:lang w:val="en"/>
        </w:rPr>
        <w:t xml:space="preserve"> </w:t>
      </w:r>
      <w:r w:rsidRPr="00CA6E1B">
        <w:rPr>
          <w:b/>
          <w:lang w:val="en"/>
        </w:rPr>
        <w:t xml:space="preserve"> Data Normality Test Results</w:t>
      </w:r>
    </w:p>
    <w:tbl>
      <w:tblPr>
        <w:tblW w:w="5249" w:type="dxa"/>
        <w:tblInd w:w="2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5"/>
        <w:gridCol w:w="1699"/>
        <w:gridCol w:w="995"/>
        <w:gridCol w:w="1280"/>
      </w:tblGrid>
      <w:tr w:rsidR="003F40B6" w:rsidRPr="00CA6E1B" w14:paraId="1FBFE490" w14:textId="77777777" w:rsidTr="003F40B6">
        <w:trPr>
          <w:cantSplit/>
        </w:trPr>
        <w:tc>
          <w:tcPr>
            <w:tcW w:w="1275" w:type="dxa"/>
            <w:vMerge w:val="restart"/>
            <w:tcBorders>
              <w:top w:val="single" w:sz="18" w:space="0" w:color="000000"/>
              <w:left w:val="nil"/>
              <w:bottom w:val="nil"/>
              <w:right w:val="nil"/>
            </w:tcBorders>
            <w:shd w:val="clear" w:color="auto" w:fill="FFFFFF"/>
            <w:vAlign w:val="bottom"/>
          </w:tcPr>
          <w:p w14:paraId="01BADED8" w14:textId="77777777" w:rsidR="003F40B6" w:rsidRPr="00CA6E1B" w:rsidRDefault="003F40B6" w:rsidP="003F40B6">
            <w:pPr>
              <w:pStyle w:val="8ParagrafAwal-FirstParagraph"/>
            </w:pPr>
            <w:bookmarkStart w:id="0" w:name="_Hlk108785071"/>
          </w:p>
        </w:tc>
        <w:tc>
          <w:tcPr>
            <w:tcW w:w="3974" w:type="dxa"/>
            <w:gridSpan w:val="3"/>
            <w:tcBorders>
              <w:top w:val="single" w:sz="18" w:space="0" w:color="000000"/>
              <w:left w:val="nil"/>
              <w:bottom w:val="nil"/>
              <w:right w:val="nil"/>
            </w:tcBorders>
            <w:shd w:val="clear" w:color="auto" w:fill="FFFFFF"/>
            <w:vAlign w:val="bottom"/>
          </w:tcPr>
          <w:p w14:paraId="7903BEE9" w14:textId="77777777" w:rsidR="003F40B6" w:rsidRPr="00CA6E1B" w:rsidRDefault="003F40B6" w:rsidP="003F40B6">
            <w:pPr>
              <w:pStyle w:val="8ParagrafAwal-FirstParagraph"/>
            </w:pPr>
            <w:r w:rsidRPr="00CA6E1B">
              <w:rPr>
                <w:lang w:val="en"/>
              </w:rPr>
              <w:t>Kolmogorov-Smirnova</w:t>
            </w:r>
          </w:p>
        </w:tc>
      </w:tr>
      <w:tr w:rsidR="003F40B6" w:rsidRPr="00CA6E1B" w14:paraId="14CAB387" w14:textId="77777777" w:rsidTr="003F40B6">
        <w:trPr>
          <w:cantSplit/>
        </w:trPr>
        <w:tc>
          <w:tcPr>
            <w:tcW w:w="1275" w:type="dxa"/>
            <w:vMerge/>
            <w:tcBorders>
              <w:top w:val="nil"/>
              <w:left w:val="nil"/>
              <w:bottom w:val="nil"/>
              <w:right w:val="nil"/>
            </w:tcBorders>
            <w:shd w:val="clear" w:color="auto" w:fill="FFFFFF"/>
            <w:vAlign w:val="bottom"/>
          </w:tcPr>
          <w:p w14:paraId="1FB032B8" w14:textId="77777777" w:rsidR="003F40B6" w:rsidRPr="00CA6E1B" w:rsidRDefault="003F40B6" w:rsidP="003F40B6">
            <w:pPr>
              <w:pStyle w:val="8ParagrafAwal-FirstParagraph"/>
            </w:pPr>
          </w:p>
        </w:tc>
        <w:tc>
          <w:tcPr>
            <w:tcW w:w="1699" w:type="dxa"/>
            <w:tcBorders>
              <w:top w:val="nil"/>
              <w:left w:val="nil"/>
              <w:bottom w:val="single" w:sz="16" w:space="0" w:color="000000"/>
              <w:right w:val="nil"/>
            </w:tcBorders>
            <w:shd w:val="clear" w:color="auto" w:fill="FFFFFF"/>
            <w:vAlign w:val="bottom"/>
          </w:tcPr>
          <w:p w14:paraId="45967E7B" w14:textId="77777777" w:rsidR="003F40B6" w:rsidRPr="00CA6E1B" w:rsidRDefault="003F40B6" w:rsidP="003F40B6">
            <w:pPr>
              <w:pStyle w:val="8ParagrafAwal-FirstParagraph"/>
            </w:pPr>
            <w:r w:rsidRPr="00CA6E1B">
              <w:rPr>
                <w:lang w:val="en"/>
              </w:rPr>
              <w:t>Statistic</w:t>
            </w:r>
          </w:p>
        </w:tc>
        <w:tc>
          <w:tcPr>
            <w:tcW w:w="995" w:type="dxa"/>
            <w:tcBorders>
              <w:top w:val="nil"/>
              <w:left w:val="nil"/>
              <w:bottom w:val="single" w:sz="16" w:space="0" w:color="000000"/>
              <w:right w:val="nil"/>
            </w:tcBorders>
            <w:shd w:val="clear" w:color="auto" w:fill="FFFFFF"/>
            <w:vAlign w:val="bottom"/>
          </w:tcPr>
          <w:p w14:paraId="397F1305" w14:textId="77777777" w:rsidR="003F40B6" w:rsidRPr="00CA6E1B" w:rsidRDefault="003F40B6" w:rsidP="003F40B6">
            <w:pPr>
              <w:pStyle w:val="8ParagrafAwal-FirstParagraph"/>
            </w:pPr>
            <w:r w:rsidRPr="00CA6E1B">
              <w:rPr>
                <w:lang w:val="en"/>
              </w:rPr>
              <w:t>df</w:t>
            </w:r>
          </w:p>
        </w:tc>
        <w:tc>
          <w:tcPr>
            <w:tcW w:w="1280" w:type="dxa"/>
            <w:tcBorders>
              <w:top w:val="nil"/>
              <w:left w:val="nil"/>
              <w:bottom w:val="single" w:sz="16" w:space="0" w:color="000000"/>
              <w:right w:val="nil"/>
            </w:tcBorders>
            <w:shd w:val="clear" w:color="auto" w:fill="FFFFFF"/>
            <w:vAlign w:val="bottom"/>
          </w:tcPr>
          <w:p w14:paraId="5B097497" w14:textId="77777777" w:rsidR="003F40B6" w:rsidRPr="00CA6E1B" w:rsidRDefault="003F40B6" w:rsidP="003F40B6">
            <w:pPr>
              <w:pStyle w:val="8ParagrafAwal-FirstParagraph"/>
            </w:pPr>
            <w:r w:rsidRPr="00CA6E1B">
              <w:rPr>
                <w:lang w:val="en"/>
              </w:rPr>
              <w:t>Itself.</w:t>
            </w:r>
          </w:p>
        </w:tc>
      </w:tr>
      <w:tr w:rsidR="003F40B6" w:rsidRPr="00CA6E1B" w14:paraId="17843FC9" w14:textId="77777777" w:rsidTr="003F40B6">
        <w:trPr>
          <w:cantSplit/>
        </w:trPr>
        <w:tc>
          <w:tcPr>
            <w:tcW w:w="1275" w:type="dxa"/>
            <w:tcBorders>
              <w:top w:val="single" w:sz="16" w:space="0" w:color="000000"/>
              <w:left w:val="nil"/>
              <w:bottom w:val="nil"/>
              <w:right w:val="nil"/>
            </w:tcBorders>
            <w:shd w:val="clear" w:color="auto" w:fill="FFFFFF"/>
          </w:tcPr>
          <w:p w14:paraId="3F560062" w14:textId="77777777" w:rsidR="003F40B6" w:rsidRPr="00CA6E1B" w:rsidRDefault="003F40B6" w:rsidP="003F40B6">
            <w:pPr>
              <w:pStyle w:val="8ParagrafAwal-FirstParagraph"/>
            </w:pPr>
            <w:r w:rsidRPr="00CA6E1B">
              <w:rPr>
                <w:lang w:val="en"/>
              </w:rPr>
              <w:t>DSK</w:t>
            </w:r>
          </w:p>
        </w:tc>
        <w:tc>
          <w:tcPr>
            <w:tcW w:w="1699" w:type="dxa"/>
            <w:tcBorders>
              <w:top w:val="single" w:sz="16" w:space="0" w:color="000000"/>
              <w:left w:val="nil"/>
              <w:bottom w:val="nil"/>
              <w:right w:val="nil"/>
            </w:tcBorders>
            <w:shd w:val="clear" w:color="auto" w:fill="FFFFFF"/>
            <w:vAlign w:val="center"/>
          </w:tcPr>
          <w:p w14:paraId="61598E3C" w14:textId="77777777" w:rsidR="003F40B6" w:rsidRPr="00CA6E1B" w:rsidRDefault="003F40B6" w:rsidP="003F40B6">
            <w:pPr>
              <w:pStyle w:val="8ParagrafAwal-FirstParagraph"/>
            </w:pPr>
            <w:r w:rsidRPr="00CA6E1B">
              <w:rPr>
                <w:lang w:val="en"/>
              </w:rPr>
              <w:t>,084</w:t>
            </w:r>
          </w:p>
        </w:tc>
        <w:tc>
          <w:tcPr>
            <w:tcW w:w="995" w:type="dxa"/>
            <w:tcBorders>
              <w:top w:val="single" w:sz="16" w:space="0" w:color="000000"/>
              <w:left w:val="nil"/>
              <w:bottom w:val="nil"/>
              <w:right w:val="nil"/>
            </w:tcBorders>
            <w:shd w:val="clear" w:color="auto" w:fill="FFFFFF"/>
            <w:vAlign w:val="center"/>
          </w:tcPr>
          <w:p w14:paraId="43B27D72" w14:textId="77777777" w:rsidR="003F40B6" w:rsidRPr="00CA6E1B" w:rsidRDefault="003F40B6" w:rsidP="003F40B6">
            <w:pPr>
              <w:pStyle w:val="8ParagrafAwal-FirstParagraph"/>
            </w:pPr>
            <w:r w:rsidRPr="00CA6E1B">
              <w:rPr>
                <w:lang w:val="en"/>
              </w:rPr>
              <w:t>85</w:t>
            </w:r>
          </w:p>
        </w:tc>
        <w:tc>
          <w:tcPr>
            <w:tcW w:w="1280" w:type="dxa"/>
            <w:tcBorders>
              <w:top w:val="single" w:sz="16" w:space="0" w:color="000000"/>
              <w:left w:val="nil"/>
              <w:bottom w:val="nil"/>
              <w:right w:val="nil"/>
            </w:tcBorders>
            <w:shd w:val="clear" w:color="auto" w:fill="FFFFFF"/>
            <w:vAlign w:val="center"/>
          </w:tcPr>
          <w:p w14:paraId="31835C9A" w14:textId="77777777" w:rsidR="003F40B6" w:rsidRPr="00CA6E1B" w:rsidRDefault="003F40B6" w:rsidP="003F40B6">
            <w:pPr>
              <w:pStyle w:val="8ParagrafAwal-FirstParagraph"/>
            </w:pPr>
            <w:r w:rsidRPr="00CA6E1B">
              <w:rPr>
                <w:lang w:val="en"/>
              </w:rPr>
              <w:t>,197</w:t>
            </w:r>
          </w:p>
        </w:tc>
      </w:tr>
      <w:tr w:rsidR="003F40B6" w:rsidRPr="00CA6E1B" w14:paraId="41D6DF6C" w14:textId="77777777" w:rsidTr="003F40B6">
        <w:trPr>
          <w:cantSplit/>
        </w:trPr>
        <w:tc>
          <w:tcPr>
            <w:tcW w:w="1275" w:type="dxa"/>
            <w:tcBorders>
              <w:top w:val="nil"/>
              <w:left w:val="nil"/>
              <w:bottom w:val="single" w:sz="4" w:space="0" w:color="auto"/>
              <w:right w:val="nil"/>
            </w:tcBorders>
            <w:shd w:val="clear" w:color="auto" w:fill="FFFFFF"/>
          </w:tcPr>
          <w:p w14:paraId="478FD291" w14:textId="77777777" w:rsidR="003F40B6" w:rsidRPr="00CA6E1B" w:rsidRDefault="003F40B6" w:rsidP="003F40B6">
            <w:pPr>
              <w:pStyle w:val="8ParagrafAwal-FirstParagraph"/>
            </w:pPr>
            <w:r w:rsidRPr="00CA6E1B">
              <w:rPr>
                <w:lang w:val="en"/>
              </w:rPr>
              <w:t>HERSELF</w:t>
            </w:r>
          </w:p>
        </w:tc>
        <w:tc>
          <w:tcPr>
            <w:tcW w:w="1699" w:type="dxa"/>
            <w:tcBorders>
              <w:top w:val="nil"/>
              <w:left w:val="nil"/>
              <w:bottom w:val="single" w:sz="4" w:space="0" w:color="auto"/>
              <w:right w:val="nil"/>
            </w:tcBorders>
            <w:shd w:val="clear" w:color="auto" w:fill="FFFFFF"/>
            <w:vAlign w:val="center"/>
          </w:tcPr>
          <w:p w14:paraId="738DE8A1" w14:textId="77777777" w:rsidR="003F40B6" w:rsidRPr="00CA6E1B" w:rsidRDefault="003F40B6" w:rsidP="003F40B6">
            <w:pPr>
              <w:pStyle w:val="8ParagrafAwal-FirstParagraph"/>
            </w:pPr>
            <w:r w:rsidRPr="00CA6E1B">
              <w:rPr>
                <w:lang w:val="en"/>
              </w:rPr>
              <w:t>,093</w:t>
            </w:r>
          </w:p>
        </w:tc>
        <w:tc>
          <w:tcPr>
            <w:tcW w:w="995" w:type="dxa"/>
            <w:tcBorders>
              <w:top w:val="nil"/>
              <w:left w:val="nil"/>
              <w:bottom w:val="single" w:sz="4" w:space="0" w:color="auto"/>
              <w:right w:val="nil"/>
            </w:tcBorders>
            <w:shd w:val="clear" w:color="auto" w:fill="FFFFFF"/>
            <w:vAlign w:val="center"/>
          </w:tcPr>
          <w:p w14:paraId="26224E2B" w14:textId="77777777" w:rsidR="003F40B6" w:rsidRPr="00CA6E1B" w:rsidRDefault="003F40B6" w:rsidP="003F40B6">
            <w:pPr>
              <w:pStyle w:val="8ParagrafAwal-FirstParagraph"/>
            </w:pPr>
            <w:r w:rsidRPr="00CA6E1B">
              <w:rPr>
                <w:lang w:val="en"/>
              </w:rPr>
              <w:t>85</w:t>
            </w:r>
          </w:p>
        </w:tc>
        <w:tc>
          <w:tcPr>
            <w:tcW w:w="1280" w:type="dxa"/>
            <w:tcBorders>
              <w:top w:val="nil"/>
              <w:left w:val="nil"/>
              <w:bottom w:val="single" w:sz="4" w:space="0" w:color="auto"/>
              <w:right w:val="nil"/>
            </w:tcBorders>
            <w:shd w:val="clear" w:color="auto" w:fill="FFFFFF"/>
            <w:vAlign w:val="center"/>
          </w:tcPr>
          <w:p w14:paraId="0D1D8DD5" w14:textId="77777777" w:rsidR="003F40B6" w:rsidRPr="00CA6E1B" w:rsidRDefault="003F40B6" w:rsidP="003F40B6">
            <w:pPr>
              <w:pStyle w:val="8ParagrafAwal-FirstParagraph"/>
            </w:pPr>
            <w:r w:rsidRPr="00CA6E1B">
              <w:rPr>
                <w:lang w:val="en"/>
              </w:rPr>
              <w:t>,069</w:t>
            </w:r>
          </w:p>
        </w:tc>
      </w:tr>
      <w:bookmarkEnd w:id="0"/>
    </w:tbl>
    <w:p w14:paraId="16D92D5A" w14:textId="77777777" w:rsidR="00034961" w:rsidRPr="00CA6E1B" w:rsidRDefault="00034961" w:rsidP="00034961">
      <w:pPr>
        <w:pStyle w:val="8ParagrafAwal-FirstParagraph"/>
      </w:pPr>
    </w:p>
    <w:p w14:paraId="24AD8FEB" w14:textId="3DB79BED" w:rsidR="00034961" w:rsidRPr="00CA6E1B" w:rsidRDefault="00034961" w:rsidP="00034961">
      <w:pPr>
        <w:pStyle w:val="8ParagrafAwal-FirstParagraph"/>
      </w:pPr>
      <w:r w:rsidRPr="00CA6E1B">
        <w:rPr>
          <w:lang w:val="en"/>
        </w:rPr>
        <w:t xml:space="preserve">It is known from </w:t>
      </w:r>
      <w:r w:rsidR="001E5B70">
        <w:rPr>
          <w:lang w:val="en"/>
        </w:rPr>
        <w:t>T</w:t>
      </w:r>
      <w:r w:rsidRPr="00CA6E1B">
        <w:rPr>
          <w:lang w:val="en"/>
        </w:rPr>
        <w:t xml:space="preserve">able 3 that the Sig value of the family social support variable (DSK) is 0.197 and the sig value of the variable (SE) of student engagement is obtained </w:t>
      </w:r>
      <w:r w:rsidR="001E5B70">
        <w:rPr>
          <w:lang w:val="en"/>
        </w:rPr>
        <w:t xml:space="preserve">at </w:t>
      </w:r>
      <w:r w:rsidRPr="00CA6E1B">
        <w:rPr>
          <w:lang w:val="en"/>
        </w:rPr>
        <w:t>0.069 so that the second value of sig&gt;0.05 which means that the family social support data and student engagement are normally distributed. Furthermore</w:t>
      </w:r>
      <w:r w:rsidR="001E5B70">
        <w:rPr>
          <w:lang w:val="en"/>
        </w:rPr>
        <w:t>,</w:t>
      </w:r>
      <w:r w:rsidRPr="00CA6E1B">
        <w:rPr>
          <w:lang w:val="en"/>
        </w:rPr>
        <w:t xml:space="preserve"> the value of the signification of linearity (Sig. Deviation from Linearity) of the two variables is 0.747 where the value &gt;0.05 so that the variables of family social support and student engagement form a linear line or relationship.</w:t>
      </w:r>
    </w:p>
    <w:p w14:paraId="3176E305" w14:textId="39985AB3" w:rsidR="00034961" w:rsidRPr="00CA6E1B" w:rsidRDefault="00034961" w:rsidP="00034961">
      <w:pPr>
        <w:pStyle w:val="8ParagrafAwal-FirstParagraph"/>
      </w:pPr>
      <w:r w:rsidRPr="00CA6E1B">
        <w:rPr>
          <w:lang w:val="en"/>
        </w:rPr>
        <w:t>Next, the results of the hypothesis test are shown by the results of a simple linear regression analysis consisting of a t</w:t>
      </w:r>
      <w:r w:rsidR="001E5B70">
        <w:rPr>
          <w:lang w:val="en"/>
        </w:rPr>
        <w:t>-</w:t>
      </w:r>
      <w:r w:rsidRPr="00CA6E1B">
        <w:rPr>
          <w:lang w:val="en"/>
        </w:rPr>
        <w:t>test, an F test</w:t>
      </w:r>
      <w:r w:rsidR="001E5B70">
        <w:rPr>
          <w:lang w:val="en"/>
        </w:rPr>
        <w:t xml:space="preserve">, </w:t>
      </w:r>
      <w:r w:rsidRPr="00CA6E1B">
        <w:rPr>
          <w:lang w:val="en"/>
        </w:rPr>
        <w:t>and a coefficient of determination test.</w:t>
      </w:r>
    </w:p>
    <w:p w14:paraId="38EFF695" w14:textId="74EF4A32" w:rsidR="00034961" w:rsidRPr="00CA6E1B" w:rsidRDefault="00034961" w:rsidP="007F1917">
      <w:pPr>
        <w:pStyle w:val="8ParagrafAwal-FirstParagraph"/>
        <w:jc w:val="center"/>
        <w:rPr>
          <w:b/>
          <w:bCs/>
        </w:rPr>
      </w:pPr>
      <w:r w:rsidRPr="00CA6E1B">
        <w:rPr>
          <w:b/>
          <w:bCs/>
          <w:lang w:val="en"/>
        </w:rPr>
        <w:t>Table 4</w:t>
      </w:r>
      <w:r w:rsidR="007F1917" w:rsidRPr="00CA6E1B">
        <w:rPr>
          <w:b/>
          <w:lang w:val="en"/>
        </w:rPr>
        <w:t>.</w:t>
      </w:r>
      <w:r>
        <w:rPr>
          <w:lang w:val="en"/>
        </w:rPr>
        <w:t xml:space="preserve"> </w:t>
      </w:r>
      <w:r w:rsidRPr="00CA6E1B">
        <w:rPr>
          <w:b/>
          <w:bCs/>
          <w:lang w:val="en"/>
        </w:rPr>
        <w:t xml:space="preserve"> t Test Results (Partial Test)</w:t>
      </w:r>
    </w:p>
    <w:tbl>
      <w:tblPr>
        <w:tblW w:w="55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693"/>
        <w:gridCol w:w="1018"/>
        <w:gridCol w:w="567"/>
        <w:gridCol w:w="1010"/>
      </w:tblGrid>
      <w:tr w:rsidR="007F1917" w:rsidRPr="00CA6E1B" w14:paraId="444075FC" w14:textId="77777777" w:rsidTr="007F1917">
        <w:trPr>
          <w:gridAfter w:val="1"/>
          <w:wAfter w:w="1010" w:type="dxa"/>
          <w:cantSplit/>
          <w:trHeight w:val="390"/>
          <w:jc w:val="center"/>
        </w:trPr>
        <w:tc>
          <w:tcPr>
            <w:tcW w:w="2977" w:type="dxa"/>
            <w:gridSpan w:val="2"/>
            <w:vMerge w:val="restart"/>
            <w:tcBorders>
              <w:top w:val="single" w:sz="16" w:space="0" w:color="000000"/>
              <w:left w:val="nil"/>
              <w:bottom w:val="nil"/>
              <w:right w:val="nil"/>
            </w:tcBorders>
            <w:shd w:val="clear" w:color="auto" w:fill="FFFFFF"/>
            <w:vAlign w:val="center"/>
          </w:tcPr>
          <w:p w14:paraId="588577A7" w14:textId="77777777" w:rsidR="007F1917" w:rsidRPr="00CA6E1B" w:rsidRDefault="007F1917" w:rsidP="007F1917">
            <w:pPr>
              <w:pStyle w:val="8ParagrafAwal-FirstParagraph"/>
              <w:spacing w:after="0"/>
              <w:jc w:val="left"/>
              <w:rPr>
                <w:lang w:val="en-US"/>
              </w:rPr>
            </w:pPr>
            <w:r w:rsidRPr="00CA6E1B">
              <w:rPr>
                <w:lang w:val="en"/>
              </w:rPr>
              <w:t>Model</w:t>
            </w:r>
          </w:p>
        </w:tc>
        <w:tc>
          <w:tcPr>
            <w:tcW w:w="1018" w:type="dxa"/>
            <w:vMerge w:val="restart"/>
            <w:tcBorders>
              <w:top w:val="single" w:sz="16" w:space="0" w:color="000000"/>
              <w:left w:val="nil"/>
              <w:bottom w:val="nil"/>
              <w:right w:val="nil"/>
            </w:tcBorders>
            <w:shd w:val="clear" w:color="auto" w:fill="FFFFFF"/>
            <w:vAlign w:val="center"/>
          </w:tcPr>
          <w:p w14:paraId="134C300A" w14:textId="77777777" w:rsidR="007F1917" w:rsidRPr="00CA6E1B" w:rsidRDefault="007F1917" w:rsidP="007F1917">
            <w:pPr>
              <w:pStyle w:val="8ParagrafAwal-FirstParagraph"/>
              <w:spacing w:after="0"/>
              <w:jc w:val="left"/>
              <w:rPr>
                <w:lang w:val="en-US"/>
              </w:rPr>
            </w:pPr>
            <w:r w:rsidRPr="00CA6E1B">
              <w:rPr>
                <w:lang w:val="en"/>
              </w:rPr>
              <w:t>t</w:t>
            </w:r>
          </w:p>
        </w:tc>
        <w:tc>
          <w:tcPr>
            <w:tcW w:w="567" w:type="dxa"/>
            <w:vMerge w:val="restart"/>
            <w:tcBorders>
              <w:top w:val="single" w:sz="16" w:space="0" w:color="000000"/>
              <w:left w:val="nil"/>
              <w:bottom w:val="nil"/>
              <w:right w:val="nil"/>
            </w:tcBorders>
            <w:shd w:val="clear" w:color="auto" w:fill="FFFFFF"/>
            <w:vAlign w:val="center"/>
          </w:tcPr>
          <w:p w14:paraId="6CDBB876" w14:textId="77777777" w:rsidR="007F1917" w:rsidRPr="00CA6E1B" w:rsidRDefault="007F1917" w:rsidP="007F1917">
            <w:pPr>
              <w:pStyle w:val="8ParagrafAwal-FirstParagraph"/>
              <w:spacing w:after="0"/>
              <w:jc w:val="left"/>
              <w:rPr>
                <w:lang w:val="en-US"/>
              </w:rPr>
            </w:pPr>
            <w:r w:rsidRPr="00CA6E1B">
              <w:rPr>
                <w:lang w:val="en"/>
              </w:rPr>
              <w:t>Itself.</w:t>
            </w:r>
          </w:p>
        </w:tc>
      </w:tr>
      <w:tr w:rsidR="007F1917" w:rsidRPr="00CA6E1B" w14:paraId="06AD1249" w14:textId="77777777" w:rsidTr="007F1917">
        <w:trPr>
          <w:gridAfter w:val="1"/>
          <w:wAfter w:w="1010" w:type="dxa"/>
          <w:cantSplit/>
          <w:trHeight w:val="390"/>
          <w:jc w:val="center"/>
        </w:trPr>
        <w:tc>
          <w:tcPr>
            <w:tcW w:w="2977" w:type="dxa"/>
            <w:gridSpan w:val="2"/>
            <w:vMerge/>
            <w:tcBorders>
              <w:top w:val="nil"/>
              <w:left w:val="nil"/>
              <w:bottom w:val="nil"/>
              <w:right w:val="nil"/>
            </w:tcBorders>
            <w:shd w:val="clear" w:color="auto" w:fill="FFFFFF"/>
            <w:vAlign w:val="bottom"/>
          </w:tcPr>
          <w:p w14:paraId="77FB2CC5" w14:textId="77777777" w:rsidR="007F1917" w:rsidRPr="00CA6E1B" w:rsidRDefault="007F1917" w:rsidP="007F1917">
            <w:pPr>
              <w:pStyle w:val="8ParagrafAwal-FirstParagraph"/>
              <w:rPr>
                <w:lang w:val="en-US"/>
              </w:rPr>
            </w:pPr>
          </w:p>
        </w:tc>
        <w:tc>
          <w:tcPr>
            <w:tcW w:w="1018" w:type="dxa"/>
            <w:vMerge/>
            <w:tcBorders>
              <w:top w:val="nil"/>
              <w:left w:val="nil"/>
              <w:right w:val="nil"/>
            </w:tcBorders>
            <w:shd w:val="clear" w:color="auto" w:fill="FFFFFF"/>
            <w:vAlign w:val="bottom"/>
          </w:tcPr>
          <w:p w14:paraId="79F174CE" w14:textId="77777777" w:rsidR="007F1917" w:rsidRPr="00CA6E1B" w:rsidRDefault="007F1917" w:rsidP="007F1917">
            <w:pPr>
              <w:pStyle w:val="8ParagrafAwal-FirstParagraph"/>
              <w:rPr>
                <w:lang w:val="en-US"/>
              </w:rPr>
            </w:pPr>
          </w:p>
        </w:tc>
        <w:tc>
          <w:tcPr>
            <w:tcW w:w="567" w:type="dxa"/>
            <w:vMerge/>
            <w:tcBorders>
              <w:top w:val="nil"/>
              <w:left w:val="nil"/>
              <w:right w:val="nil"/>
            </w:tcBorders>
            <w:shd w:val="clear" w:color="auto" w:fill="FFFFFF"/>
            <w:vAlign w:val="bottom"/>
          </w:tcPr>
          <w:p w14:paraId="3F1AEAC3" w14:textId="77777777" w:rsidR="007F1917" w:rsidRPr="00CA6E1B" w:rsidRDefault="007F1917" w:rsidP="007F1917">
            <w:pPr>
              <w:pStyle w:val="8ParagrafAwal-FirstParagraph"/>
              <w:rPr>
                <w:lang w:val="en-US"/>
              </w:rPr>
            </w:pPr>
          </w:p>
        </w:tc>
      </w:tr>
      <w:tr w:rsidR="007F1917" w:rsidRPr="00CA6E1B" w14:paraId="56438529" w14:textId="77777777" w:rsidTr="007F1917">
        <w:trPr>
          <w:gridAfter w:val="1"/>
          <w:wAfter w:w="1010" w:type="dxa"/>
          <w:cantSplit/>
          <w:jc w:val="center"/>
        </w:trPr>
        <w:tc>
          <w:tcPr>
            <w:tcW w:w="284" w:type="dxa"/>
            <w:vMerge w:val="restart"/>
            <w:tcBorders>
              <w:top w:val="single" w:sz="16" w:space="0" w:color="000000"/>
              <w:left w:val="nil"/>
              <w:bottom w:val="single" w:sz="16" w:space="0" w:color="000000"/>
              <w:right w:val="nil"/>
            </w:tcBorders>
            <w:shd w:val="clear" w:color="auto" w:fill="FFFFFF"/>
          </w:tcPr>
          <w:p w14:paraId="38A32D06" w14:textId="77777777" w:rsidR="007F1917" w:rsidRPr="00CA6E1B" w:rsidRDefault="007F1917" w:rsidP="007F1917">
            <w:pPr>
              <w:pStyle w:val="8ParagrafAwal-FirstParagraph"/>
              <w:rPr>
                <w:lang w:val="en-US"/>
              </w:rPr>
            </w:pPr>
            <w:r w:rsidRPr="00CA6E1B">
              <w:rPr>
                <w:lang w:val="en"/>
              </w:rPr>
              <w:t>1</w:t>
            </w:r>
          </w:p>
        </w:tc>
        <w:tc>
          <w:tcPr>
            <w:tcW w:w="2693" w:type="dxa"/>
            <w:tcBorders>
              <w:top w:val="single" w:sz="16" w:space="0" w:color="000000"/>
              <w:left w:val="nil"/>
              <w:bottom w:val="nil"/>
              <w:right w:val="nil"/>
            </w:tcBorders>
            <w:shd w:val="clear" w:color="auto" w:fill="FFFFFF"/>
          </w:tcPr>
          <w:p w14:paraId="670302FD" w14:textId="77777777" w:rsidR="007F1917" w:rsidRPr="00CA6E1B" w:rsidRDefault="007F1917" w:rsidP="007F1917">
            <w:pPr>
              <w:pStyle w:val="8ParagrafAwal-FirstParagraph"/>
              <w:rPr>
                <w:lang w:val="en-US"/>
              </w:rPr>
            </w:pPr>
            <w:r w:rsidRPr="00CA6E1B">
              <w:rPr>
                <w:lang w:val="en"/>
              </w:rPr>
              <w:t>(Constant)</w:t>
            </w:r>
          </w:p>
        </w:tc>
        <w:tc>
          <w:tcPr>
            <w:tcW w:w="1018" w:type="dxa"/>
            <w:tcBorders>
              <w:top w:val="single" w:sz="16" w:space="0" w:color="000000"/>
              <w:left w:val="nil"/>
              <w:bottom w:val="nil"/>
              <w:right w:val="nil"/>
            </w:tcBorders>
            <w:shd w:val="clear" w:color="auto" w:fill="FFFFFF"/>
            <w:vAlign w:val="center"/>
          </w:tcPr>
          <w:p w14:paraId="79968C82" w14:textId="77777777" w:rsidR="007F1917" w:rsidRPr="00CA6E1B" w:rsidRDefault="007F1917" w:rsidP="007F1917">
            <w:pPr>
              <w:pStyle w:val="8ParagrafAwal-FirstParagraph"/>
              <w:rPr>
                <w:lang w:val="en-US"/>
              </w:rPr>
            </w:pPr>
            <w:r w:rsidRPr="00CA6E1B">
              <w:rPr>
                <w:lang w:val="en"/>
              </w:rPr>
              <w:t>9,805</w:t>
            </w:r>
          </w:p>
        </w:tc>
        <w:tc>
          <w:tcPr>
            <w:tcW w:w="567" w:type="dxa"/>
            <w:tcBorders>
              <w:top w:val="single" w:sz="16" w:space="0" w:color="000000"/>
              <w:left w:val="nil"/>
              <w:bottom w:val="nil"/>
              <w:right w:val="nil"/>
            </w:tcBorders>
            <w:shd w:val="clear" w:color="auto" w:fill="FFFFFF"/>
            <w:vAlign w:val="center"/>
          </w:tcPr>
          <w:p w14:paraId="1F9946F2" w14:textId="77777777" w:rsidR="007F1917" w:rsidRPr="00CA6E1B" w:rsidRDefault="007F1917" w:rsidP="007F1917">
            <w:pPr>
              <w:pStyle w:val="8ParagrafAwal-FirstParagraph"/>
              <w:rPr>
                <w:lang w:val="en-US"/>
              </w:rPr>
            </w:pPr>
            <w:r w:rsidRPr="00CA6E1B">
              <w:rPr>
                <w:lang w:val="en"/>
              </w:rPr>
              <w:t>,000</w:t>
            </w:r>
          </w:p>
        </w:tc>
      </w:tr>
      <w:tr w:rsidR="007F1917" w:rsidRPr="00CA6E1B" w14:paraId="5DD37CCE" w14:textId="77777777" w:rsidTr="007F1917">
        <w:trPr>
          <w:gridAfter w:val="1"/>
          <w:wAfter w:w="1010" w:type="dxa"/>
          <w:cantSplit/>
          <w:jc w:val="center"/>
        </w:trPr>
        <w:tc>
          <w:tcPr>
            <w:tcW w:w="284" w:type="dxa"/>
            <w:vMerge/>
            <w:tcBorders>
              <w:top w:val="single" w:sz="16" w:space="0" w:color="000000"/>
              <w:left w:val="nil"/>
              <w:bottom w:val="single" w:sz="16" w:space="0" w:color="000000"/>
              <w:right w:val="nil"/>
            </w:tcBorders>
            <w:shd w:val="clear" w:color="auto" w:fill="FFFFFF"/>
          </w:tcPr>
          <w:p w14:paraId="7758482A" w14:textId="77777777" w:rsidR="007F1917" w:rsidRPr="00CA6E1B" w:rsidRDefault="007F1917" w:rsidP="007F1917">
            <w:pPr>
              <w:pStyle w:val="8ParagrafAwal-FirstParagraph"/>
              <w:rPr>
                <w:lang w:val="en-US"/>
              </w:rPr>
            </w:pPr>
          </w:p>
        </w:tc>
        <w:tc>
          <w:tcPr>
            <w:tcW w:w="2693" w:type="dxa"/>
            <w:tcBorders>
              <w:top w:val="nil"/>
              <w:left w:val="nil"/>
              <w:bottom w:val="single" w:sz="16" w:space="0" w:color="000000"/>
              <w:right w:val="nil"/>
            </w:tcBorders>
            <w:shd w:val="clear" w:color="auto" w:fill="FFFFFF"/>
          </w:tcPr>
          <w:p w14:paraId="10D55E09" w14:textId="77777777" w:rsidR="007F1917" w:rsidRPr="00CA6E1B" w:rsidRDefault="007F1917" w:rsidP="007F1917">
            <w:pPr>
              <w:pStyle w:val="8ParagrafAwal-FirstParagraph"/>
              <w:rPr>
                <w:lang w:val="en-US"/>
              </w:rPr>
            </w:pPr>
            <w:r w:rsidRPr="00CA6E1B">
              <w:rPr>
                <w:lang w:val="en"/>
              </w:rPr>
              <w:t>Family Social Support</w:t>
            </w:r>
          </w:p>
        </w:tc>
        <w:tc>
          <w:tcPr>
            <w:tcW w:w="1018" w:type="dxa"/>
            <w:tcBorders>
              <w:top w:val="nil"/>
              <w:left w:val="nil"/>
              <w:bottom w:val="single" w:sz="16" w:space="0" w:color="000000"/>
              <w:right w:val="nil"/>
            </w:tcBorders>
            <w:shd w:val="clear" w:color="auto" w:fill="FFFFFF"/>
            <w:vAlign w:val="center"/>
          </w:tcPr>
          <w:p w14:paraId="64852C99" w14:textId="77777777" w:rsidR="007F1917" w:rsidRPr="00CA6E1B" w:rsidRDefault="007F1917" w:rsidP="007F1917">
            <w:pPr>
              <w:pStyle w:val="8ParagrafAwal-FirstParagraph"/>
              <w:rPr>
                <w:lang w:val="en-US"/>
              </w:rPr>
            </w:pPr>
            <w:r w:rsidRPr="00CA6E1B">
              <w:rPr>
                <w:lang w:val="en"/>
              </w:rPr>
              <w:t>3,307</w:t>
            </w:r>
          </w:p>
        </w:tc>
        <w:tc>
          <w:tcPr>
            <w:tcW w:w="567" w:type="dxa"/>
            <w:tcBorders>
              <w:top w:val="nil"/>
              <w:left w:val="nil"/>
              <w:bottom w:val="single" w:sz="16" w:space="0" w:color="000000"/>
              <w:right w:val="nil"/>
            </w:tcBorders>
            <w:shd w:val="clear" w:color="auto" w:fill="FFFFFF"/>
            <w:vAlign w:val="center"/>
          </w:tcPr>
          <w:p w14:paraId="640CE5A9" w14:textId="77777777" w:rsidR="007F1917" w:rsidRPr="00CA6E1B" w:rsidRDefault="007F1917" w:rsidP="007F1917">
            <w:pPr>
              <w:pStyle w:val="8ParagrafAwal-FirstParagraph"/>
              <w:rPr>
                <w:lang w:val="en-US"/>
              </w:rPr>
            </w:pPr>
            <w:r w:rsidRPr="00CA6E1B">
              <w:rPr>
                <w:lang w:val="en"/>
              </w:rPr>
              <w:t>,001</w:t>
            </w:r>
          </w:p>
        </w:tc>
      </w:tr>
      <w:tr w:rsidR="007F1917" w:rsidRPr="00CA6E1B" w14:paraId="48589960" w14:textId="77777777" w:rsidTr="007F1917">
        <w:trPr>
          <w:cantSplit/>
          <w:jc w:val="center"/>
        </w:trPr>
        <w:tc>
          <w:tcPr>
            <w:tcW w:w="5572" w:type="dxa"/>
            <w:gridSpan w:val="5"/>
            <w:tcBorders>
              <w:top w:val="nil"/>
              <w:left w:val="nil"/>
              <w:bottom w:val="nil"/>
              <w:right w:val="nil"/>
            </w:tcBorders>
            <w:shd w:val="clear" w:color="auto" w:fill="auto"/>
          </w:tcPr>
          <w:p w14:paraId="1567C0B5" w14:textId="77777777" w:rsidR="007F1917" w:rsidRPr="00CA6E1B" w:rsidRDefault="007F1917" w:rsidP="007F1917">
            <w:pPr>
              <w:pStyle w:val="8ParagrafAwal-FirstParagraph"/>
              <w:rPr>
                <w:lang w:val="en-US"/>
              </w:rPr>
            </w:pPr>
            <w:r w:rsidRPr="00CA6E1B">
              <w:rPr>
                <w:lang w:val="en"/>
              </w:rPr>
              <w:t>a. Dependent Variable: Student Engagement</w:t>
            </w:r>
          </w:p>
        </w:tc>
      </w:tr>
    </w:tbl>
    <w:p w14:paraId="7FDFF2E6" w14:textId="661D2A20" w:rsidR="00034961" w:rsidRPr="00CA6E1B" w:rsidRDefault="00034961" w:rsidP="007F1917">
      <w:pPr>
        <w:pStyle w:val="8ParagrafAwal-FirstParagraph"/>
        <w:spacing w:before="240"/>
      </w:pPr>
      <w:r w:rsidRPr="00CA6E1B">
        <w:rPr>
          <w:lang w:val="en"/>
        </w:rPr>
        <w:t xml:space="preserve">From table 4, it can be seen that the result of the calculated t value is 3.307 while the T value of the table in this study is 2000 thus t count &gt; t table (3.307 &gt; 2000) so that there is an influence between family social support on student engagement in online learning at SDN </w:t>
      </w:r>
      <w:proofErr w:type="spellStart"/>
      <w:r w:rsidRPr="00CA6E1B">
        <w:rPr>
          <w:lang w:val="en"/>
        </w:rPr>
        <w:t>Jejeruk</w:t>
      </w:r>
      <w:proofErr w:type="spellEnd"/>
      <w:r w:rsidRPr="00CA6E1B">
        <w:rPr>
          <w:lang w:val="en"/>
        </w:rPr>
        <w:t>.</w:t>
      </w:r>
    </w:p>
    <w:p w14:paraId="1628A746" w14:textId="0B824281" w:rsidR="007F1917" w:rsidRDefault="007F1917" w:rsidP="00034961">
      <w:pPr>
        <w:pStyle w:val="8ParagrafAwal-FirstParagraph"/>
      </w:pPr>
    </w:p>
    <w:p w14:paraId="1F3E15D3" w14:textId="77777777" w:rsidR="00750321" w:rsidRPr="00750321" w:rsidRDefault="00750321" w:rsidP="00750321">
      <w:pPr>
        <w:pStyle w:val="TeksIsi"/>
        <w:rPr>
          <w:lang w:val="id-ID" w:eastAsia="id-ID"/>
        </w:rPr>
      </w:pPr>
    </w:p>
    <w:p w14:paraId="1833A0AF" w14:textId="77777777" w:rsidR="007F1917" w:rsidRPr="00CA6E1B" w:rsidRDefault="007F1917" w:rsidP="00034961">
      <w:pPr>
        <w:pStyle w:val="8ParagrafAwal-FirstParagraph"/>
      </w:pPr>
    </w:p>
    <w:p w14:paraId="4D765206" w14:textId="199DB177" w:rsidR="00034961" w:rsidRPr="00CA6E1B" w:rsidRDefault="00034961" w:rsidP="00890C24">
      <w:pPr>
        <w:pStyle w:val="8ParagrafAwal-FirstParagraph"/>
        <w:jc w:val="center"/>
        <w:rPr>
          <w:b/>
          <w:bCs/>
        </w:rPr>
      </w:pPr>
      <w:r w:rsidRPr="00CA6E1B">
        <w:rPr>
          <w:b/>
          <w:bCs/>
          <w:lang w:val="en"/>
        </w:rPr>
        <w:lastRenderedPageBreak/>
        <w:t>Table 5</w:t>
      </w:r>
      <w:r w:rsidR="00890C24" w:rsidRPr="00CA6E1B">
        <w:rPr>
          <w:b/>
          <w:lang w:val="en"/>
        </w:rPr>
        <w:t>.</w:t>
      </w:r>
      <w:r>
        <w:rPr>
          <w:lang w:val="en"/>
        </w:rPr>
        <w:t xml:space="preserve"> </w:t>
      </w:r>
      <w:r w:rsidRPr="00CA6E1B">
        <w:rPr>
          <w:b/>
          <w:bCs/>
          <w:lang w:val="en"/>
        </w:rPr>
        <w:t xml:space="preserve"> F Test Results (Simultaneous Test)</w:t>
      </w:r>
    </w:p>
    <w:tbl>
      <w:tblPr>
        <w:tblW w:w="4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
        <w:gridCol w:w="1558"/>
        <w:gridCol w:w="567"/>
        <w:gridCol w:w="850"/>
        <w:gridCol w:w="1137"/>
      </w:tblGrid>
      <w:tr w:rsidR="007F1917" w:rsidRPr="00CA6E1B" w14:paraId="0864BD87" w14:textId="77777777" w:rsidTr="00890C24">
        <w:trPr>
          <w:cantSplit/>
          <w:jc w:val="center"/>
        </w:trPr>
        <w:tc>
          <w:tcPr>
            <w:tcW w:w="1841" w:type="dxa"/>
            <w:gridSpan w:val="2"/>
            <w:tcBorders>
              <w:top w:val="single" w:sz="16" w:space="0" w:color="000000"/>
              <w:left w:val="nil"/>
              <w:bottom w:val="single" w:sz="16" w:space="0" w:color="000000"/>
              <w:right w:val="nil"/>
            </w:tcBorders>
            <w:shd w:val="clear" w:color="auto" w:fill="FFFFFF"/>
            <w:vAlign w:val="bottom"/>
          </w:tcPr>
          <w:p w14:paraId="353284FF" w14:textId="77777777" w:rsidR="007F1917" w:rsidRPr="00CA6E1B" w:rsidRDefault="007F1917" w:rsidP="00890C24">
            <w:pPr>
              <w:pStyle w:val="8ParagrafAwal-FirstParagraph"/>
              <w:rPr>
                <w:lang w:val="en-US"/>
              </w:rPr>
            </w:pPr>
            <w:r w:rsidRPr="00CA6E1B">
              <w:rPr>
                <w:lang w:val="en"/>
              </w:rPr>
              <w:t>Model</w:t>
            </w:r>
          </w:p>
        </w:tc>
        <w:tc>
          <w:tcPr>
            <w:tcW w:w="567" w:type="dxa"/>
            <w:tcBorders>
              <w:top w:val="single" w:sz="16" w:space="0" w:color="000000"/>
              <w:left w:val="nil"/>
              <w:bottom w:val="single" w:sz="16" w:space="0" w:color="000000"/>
              <w:right w:val="nil"/>
            </w:tcBorders>
            <w:shd w:val="clear" w:color="auto" w:fill="FFFFFF"/>
            <w:vAlign w:val="bottom"/>
          </w:tcPr>
          <w:p w14:paraId="6E2502D3" w14:textId="77777777" w:rsidR="007F1917" w:rsidRPr="00CA6E1B" w:rsidRDefault="007F1917" w:rsidP="00890C24">
            <w:pPr>
              <w:pStyle w:val="8ParagrafAwal-FirstParagraph"/>
              <w:rPr>
                <w:lang w:val="en-US"/>
              </w:rPr>
            </w:pPr>
            <w:r w:rsidRPr="00CA6E1B">
              <w:rPr>
                <w:lang w:val="en"/>
              </w:rPr>
              <w:t>df</w:t>
            </w:r>
          </w:p>
        </w:tc>
        <w:tc>
          <w:tcPr>
            <w:tcW w:w="850" w:type="dxa"/>
            <w:tcBorders>
              <w:top w:val="single" w:sz="16" w:space="0" w:color="000000"/>
              <w:left w:val="nil"/>
              <w:bottom w:val="single" w:sz="16" w:space="0" w:color="000000"/>
              <w:right w:val="nil"/>
            </w:tcBorders>
            <w:shd w:val="clear" w:color="auto" w:fill="FFFFFF"/>
            <w:vAlign w:val="bottom"/>
          </w:tcPr>
          <w:p w14:paraId="1CEA50D7" w14:textId="77777777" w:rsidR="007F1917" w:rsidRPr="00CA6E1B" w:rsidRDefault="007F1917" w:rsidP="00890C24">
            <w:pPr>
              <w:pStyle w:val="8ParagrafAwal-FirstParagraph"/>
              <w:rPr>
                <w:lang w:val="en-US"/>
              </w:rPr>
            </w:pPr>
            <w:r w:rsidRPr="00CA6E1B">
              <w:rPr>
                <w:lang w:val="en"/>
              </w:rPr>
              <w:t>F</w:t>
            </w:r>
          </w:p>
        </w:tc>
        <w:tc>
          <w:tcPr>
            <w:tcW w:w="1137" w:type="dxa"/>
            <w:tcBorders>
              <w:top w:val="single" w:sz="16" w:space="0" w:color="000000"/>
              <w:left w:val="nil"/>
              <w:bottom w:val="single" w:sz="16" w:space="0" w:color="000000"/>
              <w:right w:val="nil"/>
            </w:tcBorders>
            <w:shd w:val="clear" w:color="auto" w:fill="FFFFFF"/>
            <w:vAlign w:val="bottom"/>
          </w:tcPr>
          <w:p w14:paraId="642C0911" w14:textId="77777777" w:rsidR="007F1917" w:rsidRPr="00CA6E1B" w:rsidRDefault="007F1917" w:rsidP="00890C24">
            <w:pPr>
              <w:pStyle w:val="8ParagrafAwal-FirstParagraph"/>
              <w:rPr>
                <w:lang w:val="en-US"/>
              </w:rPr>
            </w:pPr>
            <w:r w:rsidRPr="00CA6E1B">
              <w:rPr>
                <w:lang w:val="en"/>
              </w:rPr>
              <w:t>Itself.</w:t>
            </w:r>
          </w:p>
        </w:tc>
      </w:tr>
      <w:tr w:rsidR="007F1917" w:rsidRPr="00CA6E1B" w14:paraId="12BA2188" w14:textId="77777777" w:rsidTr="00890C24">
        <w:trPr>
          <w:cantSplit/>
          <w:jc w:val="center"/>
        </w:trPr>
        <w:tc>
          <w:tcPr>
            <w:tcW w:w="283" w:type="dxa"/>
            <w:vMerge w:val="restart"/>
            <w:tcBorders>
              <w:top w:val="single" w:sz="16" w:space="0" w:color="000000"/>
              <w:left w:val="nil"/>
              <w:bottom w:val="single" w:sz="16" w:space="0" w:color="000000"/>
              <w:right w:val="nil"/>
            </w:tcBorders>
            <w:shd w:val="clear" w:color="auto" w:fill="FFFFFF"/>
          </w:tcPr>
          <w:p w14:paraId="1BC78A2F" w14:textId="77777777" w:rsidR="007F1917" w:rsidRPr="00CA6E1B" w:rsidRDefault="007F1917" w:rsidP="00890C24">
            <w:pPr>
              <w:pStyle w:val="8ParagrafAwal-FirstParagraph"/>
              <w:rPr>
                <w:lang w:val="en-US"/>
              </w:rPr>
            </w:pPr>
            <w:r w:rsidRPr="00CA6E1B">
              <w:rPr>
                <w:lang w:val="en"/>
              </w:rPr>
              <w:t>1</w:t>
            </w:r>
          </w:p>
        </w:tc>
        <w:tc>
          <w:tcPr>
            <w:tcW w:w="1558" w:type="dxa"/>
            <w:tcBorders>
              <w:top w:val="single" w:sz="16" w:space="0" w:color="000000"/>
              <w:left w:val="nil"/>
              <w:bottom w:val="nil"/>
              <w:right w:val="nil"/>
            </w:tcBorders>
            <w:shd w:val="clear" w:color="auto" w:fill="FFFFFF"/>
          </w:tcPr>
          <w:p w14:paraId="510CF202" w14:textId="77777777" w:rsidR="007F1917" w:rsidRPr="00CA6E1B" w:rsidRDefault="007F1917" w:rsidP="00890C24">
            <w:pPr>
              <w:pStyle w:val="8ParagrafAwal-FirstParagraph"/>
              <w:rPr>
                <w:lang w:val="en-US"/>
              </w:rPr>
            </w:pPr>
            <w:r w:rsidRPr="00CA6E1B">
              <w:rPr>
                <w:lang w:val="en"/>
              </w:rPr>
              <w:t>Regression</w:t>
            </w:r>
          </w:p>
        </w:tc>
        <w:tc>
          <w:tcPr>
            <w:tcW w:w="567" w:type="dxa"/>
            <w:tcBorders>
              <w:top w:val="single" w:sz="16" w:space="0" w:color="000000"/>
              <w:left w:val="nil"/>
              <w:bottom w:val="nil"/>
              <w:right w:val="nil"/>
            </w:tcBorders>
            <w:shd w:val="clear" w:color="auto" w:fill="FFFFFF"/>
            <w:vAlign w:val="center"/>
          </w:tcPr>
          <w:p w14:paraId="78AD14C2" w14:textId="77777777" w:rsidR="007F1917" w:rsidRPr="00CA6E1B" w:rsidRDefault="007F1917" w:rsidP="00890C24">
            <w:pPr>
              <w:pStyle w:val="8ParagrafAwal-FirstParagraph"/>
              <w:rPr>
                <w:lang w:val="en-US"/>
              </w:rPr>
            </w:pPr>
            <w:r w:rsidRPr="00CA6E1B">
              <w:rPr>
                <w:lang w:val="en"/>
              </w:rPr>
              <w:t>1</w:t>
            </w:r>
          </w:p>
        </w:tc>
        <w:tc>
          <w:tcPr>
            <w:tcW w:w="850" w:type="dxa"/>
            <w:tcBorders>
              <w:top w:val="single" w:sz="16" w:space="0" w:color="000000"/>
              <w:left w:val="nil"/>
              <w:bottom w:val="nil"/>
              <w:right w:val="nil"/>
            </w:tcBorders>
            <w:shd w:val="clear" w:color="auto" w:fill="FFFFFF"/>
            <w:vAlign w:val="center"/>
          </w:tcPr>
          <w:p w14:paraId="2302551C" w14:textId="77777777" w:rsidR="007F1917" w:rsidRPr="00CA6E1B" w:rsidRDefault="007F1917" w:rsidP="00890C24">
            <w:pPr>
              <w:pStyle w:val="8ParagrafAwal-FirstParagraph"/>
              <w:rPr>
                <w:lang w:val="en-US"/>
              </w:rPr>
            </w:pPr>
            <w:r w:rsidRPr="00CA6E1B">
              <w:rPr>
                <w:lang w:val="en"/>
              </w:rPr>
              <w:t>10,938</w:t>
            </w:r>
          </w:p>
        </w:tc>
        <w:tc>
          <w:tcPr>
            <w:tcW w:w="1137" w:type="dxa"/>
            <w:tcBorders>
              <w:top w:val="single" w:sz="16" w:space="0" w:color="000000"/>
              <w:left w:val="nil"/>
              <w:bottom w:val="nil"/>
              <w:right w:val="nil"/>
            </w:tcBorders>
            <w:shd w:val="clear" w:color="auto" w:fill="FFFFFF"/>
            <w:vAlign w:val="center"/>
          </w:tcPr>
          <w:p w14:paraId="2B87C5C0" w14:textId="77777777" w:rsidR="007F1917" w:rsidRPr="00CA6E1B" w:rsidRDefault="007F1917" w:rsidP="00890C24">
            <w:pPr>
              <w:pStyle w:val="8ParagrafAwal-FirstParagraph"/>
              <w:rPr>
                <w:lang w:val="en-US"/>
              </w:rPr>
            </w:pPr>
            <w:r w:rsidRPr="00CA6E1B">
              <w:rPr>
                <w:lang w:val="en"/>
              </w:rPr>
              <w:t>,001</w:t>
            </w:r>
            <w:r w:rsidRPr="00CA6E1B">
              <w:rPr>
                <w:vertAlign w:val="superscript"/>
                <w:lang w:val="en"/>
              </w:rPr>
              <w:t>b</w:t>
            </w:r>
          </w:p>
        </w:tc>
      </w:tr>
      <w:tr w:rsidR="007F1917" w:rsidRPr="00CA6E1B" w14:paraId="36A497F2" w14:textId="77777777" w:rsidTr="00890C24">
        <w:trPr>
          <w:cantSplit/>
          <w:jc w:val="center"/>
        </w:trPr>
        <w:tc>
          <w:tcPr>
            <w:tcW w:w="283" w:type="dxa"/>
            <w:vMerge/>
            <w:tcBorders>
              <w:top w:val="single" w:sz="16" w:space="0" w:color="000000"/>
              <w:left w:val="nil"/>
              <w:bottom w:val="single" w:sz="16" w:space="0" w:color="000000"/>
              <w:right w:val="nil"/>
            </w:tcBorders>
            <w:shd w:val="clear" w:color="auto" w:fill="FFFFFF"/>
          </w:tcPr>
          <w:p w14:paraId="09A51C87" w14:textId="77777777" w:rsidR="007F1917" w:rsidRPr="00CA6E1B" w:rsidRDefault="007F1917" w:rsidP="00890C24">
            <w:pPr>
              <w:pStyle w:val="8ParagrafAwal-FirstParagraph"/>
              <w:rPr>
                <w:lang w:val="en-US"/>
              </w:rPr>
            </w:pPr>
          </w:p>
        </w:tc>
        <w:tc>
          <w:tcPr>
            <w:tcW w:w="1558" w:type="dxa"/>
            <w:tcBorders>
              <w:top w:val="nil"/>
              <w:left w:val="nil"/>
              <w:bottom w:val="nil"/>
              <w:right w:val="nil"/>
            </w:tcBorders>
            <w:shd w:val="clear" w:color="auto" w:fill="FFFFFF"/>
          </w:tcPr>
          <w:p w14:paraId="1E440A69" w14:textId="77777777" w:rsidR="007F1917" w:rsidRPr="00CA6E1B" w:rsidRDefault="007F1917" w:rsidP="00890C24">
            <w:pPr>
              <w:pStyle w:val="8ParagrafAwal-FirstParagraph"/>
              <w:rPr>
                <w:lang w:val="en-US"/>
              </w:rPr>
            </w:pPr>
            <w:r w:rsidRPr="00CA6E1B">
              <w:rPr>
                <w:lang w:val="en"/>
              </w:rPr>
              <w:t>Residual</w:t>
            </w:r>
          </w:p>
        </w:tc>
        <w:tc>
          <w:tcPr>
            <w:tcW w:w="567" w:type="dxa"/>
            <w:tcBorders>
              <w:top w:val="nil"/>
              <w:left w:val="nil"/>
              <w:bottom w:val="nil"/>
              <w:right w:val="nil"/>
            </w:tcBorders>
            <w:shd w:val="clear" w:color="auto" w:fill="FFFFFF"/>
            <w:vAlign w:val="center"/>
          </w:tcPr>
          <w:p w14:paraId="33502DCB" w14:textId="77777777" w:rsidR="007F1917" w:rsidRPr="00CA6E1B" w:rsidRDefault="007F1917" w:rsidP="00890C24">
            <w:pPr>
              <w:pStyle w:val="8ParagrafAwal-FirstParagraph"/>
              <w:rPr>
                <w:lang w:val="en-US"/>
              </w:rPr>
            </w:pPr>
            <w:r w:rsidRPr="00CA6E1B">
              <w:rPr>
                <w:lang w:val="en"/>
              </w:rPr>
              <w:t>83</w:t>
            </w:r>
          </w:p>
        </w:tc>
        <w:tc>
          <w:tcPr>
            <w:tcW w:w="850" w:type="dxa"/>
            <w:tcBorders>
              <w:top w:val="nil"/>
              <w:left w:val="nil"/>
              <w:bottom w:val="nil"/>
              <w:right w:val="nil"/>
            </w:tcBorders>
            <w:shd w:val="clear" w:color="auto" w:fill="FFFFFF"/>
            <w:vAlign w:val="center"/>
          </w:tcPr>
          <w:p w14:paraId="25F9A1CF" w14:textId="77777777" w:rsidR="007F1917" w:rsidRPr="00CA6E1B" w:rsidRDefault="007F1917" w:rsidP="00890C24">
            <w:pPr>
              <w:pStyle w:val="8ParagrafAwal-FirstParagraph"/>
              <w:rPr>
                <w:lang w:val="en-US"/>
              </w:rPr>
            </w:pPr>
          </w:p>
        </w:tc>
        <w:tc>
          <w:tcPr>
            <w:tcW w:w="1137" w:type="dxa"/>
            <w:tcBorders>
              <w:top w:val="nil"/>
              <w:left w:val="nil"/>
              <w:bottom w:val="nil"/>
              <w:right w:val="nil"/>
            </w:tcBorders>
            <w:shd w:val="clear" w:color="auto" w:fill="FFFFFF"/>
            <w:vAlign w:val="center"/>
          </w:tcPr>
          <w:p w14:paraId="74C14C9A" w14:textId="77777777" w:rsidR="007F1917" w:rsidRPr="00CA6E1B" w:rsidRDefault="007F1917" w:rsidP="00890C24">
            <w:pPr>
              <w:pStyle w:val="8ParagrafAwal-FirstParagraph"/>
              <w:rPr>
                <w:lang w:val="en-US"/>
              </w:rPr>
            </w:pPr>
          </w:p>
        </w:tc>
      </w:tr>
      <w:tr w:rsidR="007F1917" w:rsidRPr="00CA6E1B" w14:paraId="5196AA11" w14:textId="77777777" w:rsidTr="00890C24">
        <w:trPr>
          <w:cantSplit/>
          <w:jc w:val="center"/>
        </w:trPr>
        <w:tc>
          <w:tcPr>
            <w:tcW w:w="283" w:type="dxa"/>
            <w:vMerge/>
            <w:tcBorders>
              <w:top w:val="single" w:sz="16" w:space="0" w:color="000000"/>
              <w:left w:val="nil"/>
              <w:bottom w:val="single" w:sz="16" w:space="0" w:color="000000"/>
              <w:right w:val="nil"/>
            </w:tcBorders>
            <w:shd w:val="clear" w:color="auto" w:fill="FFFFFF"/>
          </w:tcPr>
          <w:p w14:paraId="6365FD3F" w14:textId="77777777" w:rsidR="007F1917" w:rsidRPr="00CA6E1B" w:rsidRDefault="007F1917" w:rsidP="00890C24">
            <w:pPr>
              <w:pStyle w:val="8ParagrafAwal-FirstParagraph"/>
              <w:rPr>
                <w:lang w:val="en-US"/>
              </w:rPr>
            </w:pPr>
          </w:p>
        </w:tc>
        <w:tc>
          <w:tcPr>
            <w:tcW w:w="1558" w:type="dxa"/>
            <w:tcBorders>
              <w:top w:val="nil"/>
              <w:left w:val="nil"/>
              <w:bottom w:val="single" w:sz="16" w:space="0" w:color="000000"/>
              <w:right w:val="nil"/>
            </w:tcBorders>
            <w:shd w:val="clear" w:color="auto" w:fill="FFFFFF"/>
          </w:tcPr>
          <w:p w14:paraId="5AB14E06" w14:textId="77777777" w:rsidR="007F1917" w:rsidRPr="00CA6E1B" w:rsidRDefault="007F1917" w:rsidP="00890C24">
            <w:pPr>
              <w:pStyle w:val="8ParagrafAwal-FirstParagraph"/>
              <w:rPr>
                <w:lang w:val="en-US"/>
              </w:rPr>
            </w:pPr>
            <w:r w:rsidRPr="00CA6E1B">
              <w:rPr>
                <w:lang w:val="en"/>
              </w:rPr>
              <w:t>Total</w:t>
            </w:r>
          </w:p>
        </w:tc>
        <w:tc>
          <w:tcPr>
            <w:tcW w:w="567" w:type="dxa"/>
            <w:tcBorders>
              <w:top w:val="nil"/>
              <w:left w:val="nil"/>
              <w:bottom w:val="single" w:sz="16" w:space="0" w:color="000000"/>
              <w:right w:val="nil"/>
            </w:tcBorders>
            <w:shd w:val="clear" w:color="auto" w:fill="FFFFFF"/>
            <w:vAlign w:val="center"/>
          </w:tcPr>
          <w:p w14:paraId="5F0B2AD9" w14:textId="77777777" w:rsidR="007F1917" w:rsidRPr="00CA6E1B" w:rsidRDefault="007F1917" w:rsidP="00890C24">
            <w:pPr>
              <w:pStyle w:val="8ParagrafAwal-FirstParagraph"/>
              <w:rPr>
                <w:lang w:val="en-US"/>
              </w:rPr>
            </w:pPr>
            <w:r w:rsidRPr="00CA6E1B">
              <w:rPr>
                <w:lang w:val="en"/>
              </w:rPr>
              <w:t>84</w:t>
            </w:r>
          </w:p>
        </w:tc>
        <w:tc>
          <w:tcPr>
            <w:tcW w:w="850" w:type="dxa"/>
            <w:tcBorders>
              <w:top w:val="nil"/>
              <w:left w:val="nil"/>
              <w:bottom w:val="single" w:sz="16" w:space="0" w:color="000000"/>
              <w:right w:val="nil"/>
            </w:tcBorders>
            <w:shd w:val="clear" w:color="auto" w:fill="FFFFFF"/>
            <w:vAlign w:val="center"/>
          </w:tcPr>
          <w:p w14:paraId="4A77AB89" w14:textId="77777777" w:rsidR="007F1917" w:rsidRPr="00CA6E1B" w:rsidRDefault="007F1917" w:rsidP="00890C24">
            <w:pPr>
              <w:pStyle w:val="8ParagrafAwal-FirstParagraph"/>
              <w:rPr>
                <w:lang w:val="en-US"/>
              </w:rPr>
            </w:pPr>
          </w:p>
        </w:tc>
        <w:tc>
          <w:tcPr>
            <w:tcW w:w="1137" w:type="dxa"/>
            <w:tcBorders>
              <w:top w:val="nil"/>
              <w:left w:val="nil"/>
              <w:bottom w:val="single" w:sz="16" w:space="0" w:color="000000"/>
              <w:right w:val="nil"/>
            </w:tcBorders>
            <w:shd w:val="clear" w:color="auto" w:fill="FFFFFF"/>
            <w:vAlign w:val="center"/>
          </w:tcPr>
          <w:p w14:paraId="6BFC8567" w14:textId="77777777" w:rsidR="007F1917" w:rsidRPr="00CA6E1B" w:rsidRDefault="007F1917" w:rsidP="00890C24">
            <w:pPr>
              <w:pStyle w:val="8ParagrafAwal-FirstParagraph"/>
              <w:rPr>
                <w:lang w:val="en-US"/>
              </w:rPr>
            </w:pPr>
          </w:p>
        </w:tc>
      </w:tr>
      <w:tr w:rsidR="007F1917" w:rsidRPr="00CA6E1B" w14:paraId="677ABD74" w14:textId="77777777" w:rsidTr="00890C24">
        <w:trPr>
          <w:cantSplit/>
          <w:jc w:val="center"/>
        </w:trPr>
        <w:tc>
          <w:tcPr>
            <w:tcW w:w="4395" w:type="dxa"/>
            <w:gridSpan w:val="5"/>
            <w:tcBorders>
              <w:top w:val="nil"/>
              <w:left w:val="nil"/>
              <w:bottom w:val="nil"/>
              <w:right w:val="nil"/>
            </w:tcBorders>
            <w:shd w:val="clear" w:color="auto" w:fill="FFFFFF"/>
          </w:tcPr>
          <w:p w14:paraId="1C072C83" w14:textId="77777777" w:rsidR="007F1917" w:rsidRPr="00CA6E1B" w:rsidRDefault="007F1917" w:rsidP="00890C24">
            <w:pPr>
              <w:pStyle w:val="8ParagrafAwal-FirstParagraph"/>
              <w:rPr>
                <w:lang w:val="en-US"/>
              </w:rPr>
            </w:pPr>
            <w:r w:rsidRPr="00CA6E1B">
              <w:rPr>
                <w:lang w:val="en"/>
              </w:rPr>
              <w:t>a. Dependent Variable: Student Engagement</w:t>
            </w:r>
          </w:p>
        </w:tc>
      </w:tr>
      <w:tr w:rsidR="007F1917" w:rsidRPr="00CA6E1B" w14:paraId="400E9F18" w14:textId="77777777" w:rsidTr="00890C24">
        <w:trPr>
          <w:cantSplit/>
          <w:jc w:val="center"/>
        </w:trPr>
        <w:tc>
          <w:tcPr>
            <w:tcW w:w="4395" w:type="dxa"/>
            <w:gridSpan w:val="5"/>
            <w:tcBorders>
              <w:top w:val="nil"/>
              <w:left w:val="nil"/>
              <w:bottom w:val="nil"/>
              <w:right w:val="nil"/>
            </w:tcBorders>
            <w:shd w:val="clear" w:color="auto" w:fill="FFFFFF"/>
          </w:tcPr>
          <w:p w14:paraId="6AC2EFD8" w14:textId="77777777" w:rsidR="007F1917" w:rsidRPr="00CA6E1B" w:rsidRDefault="007F1917" w:rsidP="00890C24">
            <w:pPr>
              <w:pStyle w:val="8ParagrafAwal-FirstParagraph"/>
              <w:rPr>
                <w:lang w:val="en-US"/>
              </w:rPr>
            </w:pPr>
            <w:proofErr w:type="spellStart"/>
            <w:r w:rsidRPr="00CA6E1B">
              <w:rPr>
                <w:lang w:val="en"/>
              </w:rPr>
              <w:t>b.</w:t>
            </w:r>
            <w:proofErr w:type="spellEnd"/>
            <w:r w:rsidRPr="00CA6E1B">
              <w:rPr>
                <w:lang w:val="en"/>
              </w:rPr>
              <w:t xml:space="preserve"> Predictors: (Constant), Family Social Support</w:t>
            </w:r>
          </w:p>
        </w:tc>
      </w:tr>
    </w:tbl>
    <w:p w14:paraId="1809F6A0" w14:textId="54AF8898" w:rsidR="00034961" w:rsidRPr="00CA6E1B" w:rsidRDefault="00034961" w:rsidP="00890C24">
      <w:pPr>
        <w:pStyle w:val="8ParagrafAwal-FirstParagraph"/>
        <w:spacing w:before="240"/>
      </w:pPr>
      <w:r w:rsidRPr="00CA6E1B">
        <w:rPr>
          <w:lang w:val="en"/>
        </w:rPr>
        <w:t xml:space="preserve">From table 5, it can be seen that the result of the calculated F is 10,938 while the F table used is 3.98 to 10,938&gt;3.98 thus family social support has a simultaneous influence on student engagement </w:t>
      </w:r>
      <w:r w:rsidR="001E5B70">
        <w:rPr>
          <w:lang w:val="en"/>
        </w:rPr>
        <w:t>in</w:t>
      </w:r>
      <w:r w:rsidRPr="00CA6E1B">
        <w:rPr>
          <w:lang w:val="en"/>
        </w:rPr>
        <w:t xml:space="preserve"> online learning at SDN </w:t>
      </w:r>
      <w:proofErr w:type="spellStart"/>
      <w:r w:rsidRPr="00CA6E1B">
        <w:rPr>
          <w:lang w:val="en"/>
        </w:rPr>
        <w:t>Jejeruk</w:t>
      </w:r>
      <w:proofErr w:type="spellEnd"/>
      <w:r w:rsidRPr="00CA6E1B">
        <w:rPr>
          <w:lang w:val="en"/>
        </w:rPr>
        <w:t>.</w:t>
      </w:r>
    </w:p>
    <w:p w14:paraId="51471ACF" w14:textId="66858A78" w:rsidR="00034961" w:rsidRPr="00CA6E1B" w:rsidRDefault="00034961" w:rsidP="00890C24">
      <w:pPr>
        <w:pStyle w:val="8ParagrafAwal-FirstParagraph"/>
        <w:jc w:val="center"/>
        <w:rPr>
          <w:b/>
          <w:bCs/>
        </w:rPr>
      </w:pPr>
      <w:r w:rsidRPr="00CA6E1B">
        <w:rPr>
          <w:b/>
          <w:bCs/>
          <w:lang w:val="en"/>
        </w:rPr>
        <w:t>Table 6</w:t>
      </w:r>
      <w:r w:rsidR="00890C24" w:rsidRPr="00CA6E1B">
        <w:rPr>
          <w:b/>
          <w:lang w:val="en"/>
        </w:rPr>
        <w:t>.</w:t>
      </w:r>
      <w:r>
        <w:rPr>
          <w:lang w:val="en"/>
        </w:rPr>
        <w:t xml:space="preserve"> </w:t>
      </w:r>
      <w:r w:rsidRPr="00CA6E1B">
        <w:rPr>
          <w:b/>
          <w:bCs/>
          <w:lang w:val="en"/>
        </w:rPr>
        <w:t xml:space="preserve"> Coefficient of Determination Test Result (R</w:t>
      </w:r>
      <w:r w:rsidRPr="00CA6E1B">
        <w:rPr>
          <w:b/>
          <w:bCs/>
          <w:vertAlign w:val="superscript"/>
          <w:lang w:val="en"/>
        </w:rPr>
        <w:t>2</w:t>
      </w:r>
      <w:r w:rsidRPr="00CA6E1B">
        <w:rPr>
          <w:b/>
          <w:bCs/>
          <w:lang w:val="en"/>
        </w:rPr>
        <w:t>)</w:t>
      </w:r>
    </w:p>
    <w:tbl>
      <w:tblPr>
        <w:tblW w:w="57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134"/>
        <w:gridCol w:w="1417"/>
        <w:gridCol w:w="1985"/>
        <w:gridCol w:w="263"/>
      </w:tblGrid>
      <w:tr w:rsidR="00890C24" w:rsidRPr="00CA6E1B" w14:paraId="0D9F8829" w14:textId="77777777" w:rsidTr="00890C24">
        <w:trPr>
          <w:gridAfter w:val="1"/>
          <w:wAfter w:w="263" w:type="dxa"/>
          <w:cantSplit/>
          <w:jc w:val="center"/>
        </w:trPr>
        <w:tc>
          <w:tcPr>
            <w:tcW w:w="993" w:type="dxa"/>
            <w:tcBorders>
              <w:top w:val="single" w:sz="16" w:space="0" w:color="000000"/>
              <w:left w:val="nil"/>
              <w:bottom w:val="single" w:sz="16" w:space="0" w:color="000000"/>
              <w:right w:val="nil"/>
            </w:tcBorders>
            <w:shd w:val="clear" w:color="auto" w:fill="FFFFFF"/>
            <w:vAlign w:val="bottom"/>
          </w:tcPr>
          <w:p w14:paraId="68B37AA7" w14:textId="77777777" w:rsidR="00890C24" w:rsidRPr="00CA6E1B" w:rsidRDefault="00890C24" w:rsidP="00890C24">
            <w:pPr>
              <w:pStyle w:val="8ParagrafAwal-FirstParagraph"/>
              <w:rPr>
                <w:lang w:val="en-US"/>
              </w:rPr>
            </w:pPr>
            <w:r w:rsidRPr="00CA6E1B">
              <w:rPr>
                <w:lang w:val="en"/>
              </w:rPr>
              <w:t>R</w:t>
            </w:r>
          </w:p>
        </w:tc>
        <w:tc>
          <w:tcPr>
            <w:tcW w:w="1134" w:type="dxa"/>
            <w:tcBorders>
              <w:top w:val="single" w:sz="16" w:space="0" w:color="000000"/>
              <w:left w:val="nil"/>
              <w:bottom w:val="single" w:sz="16" w:space="0" w:color="000000"/>
              <w:right w:val="nil"/>
            </w:tcBorders>
            <w:shd w:val="clear" w:color="auto" w:fill="FFFFFF"/>
            <w:vAlign w:val="bottom"/>
          </w:tcPr>
          <w:p w14:paraId="4875386D" w14:textId="77777777" w:rsidR="00890C24" w:rsidRPr="00CA6E1B" w:rsidRDefault="00890C24" w:rsidP="00890C24">
            <w:pPr>
              <w:pStyle w:val="8ParagrafAwal-FirstParagraph"/>
              <w:rPr>
                <w:lang w:val="en-US"/>
              </w:rPr>
            </w:pPr>
            <w:r w:rsidRPr="00CA6E1B">
              <w:rPr>
                <w:lang w:val="en"/>
              </w:rPr>
              <w:t>R Square</w:t>
            </w:r>
          </w:p>
        </w:tc>
        <w:tc>
          <w:tcPr>
            <w:tcW w:w="1417" w:type="dxa"/>
            <w:tcBorders>
              <w:top w:val="single" w:sz="16" w:space="0" w:color="000000"/>
              <w:left w:val="nil"/>
              <w:bottom w:val="single" w:sz="16" w:space="0" w:color="000000"/>
              <w:right w:val="nil"/>
            </w:tcBorders>
            <w:shd w:val="clear" w:color="auto" w:fill="FFFFFF"/>
            <w:vAlign w:val="bottom"/>
          </w:tcPr>
          <w:p w14:paraId="54028CAE" w14:textId="189836CD" w:rsidR="00890C24" w:rsidRPr="00CA6E1B" w:rsidRDefault="00890C24" w:rsidP="001E5B70">
            <w:pPr>
              <w:pStyle w:val="8ParagrafAwal-FirstParagraph"/>
              <w:ind w:right="279"/>
              <w:rPr>
                <w:lang w:val="en-US"/>
              </w:rPr>
            </w:pPr>
            <w:r w:rsidRPr="00CA6E1B">
              <w:rPr>
                <w:lang w:val="en"/>
              </w:rPr>
              <w:t>Adjusted</w:t>
            </w:r>
            <w:r w:rsidR="001E5B70">
              <w:rPr>
                <w:lang w:val="en"/>
              </w:rPr>
              <w:t xml:space="preserve"> </w:t>
            </w:r>
            <w:r w:rsidRPr="00CA6E1B">
              <w:rPr>
                <w:lang w:val="en"/>
              </w:rPr>
              <w:t>R Square</w:t>
            </w:r>
          </w:p>
        </w:tc>
        <w:tc>
          <w:tcPr>
            <w:tcW w:w="1985" w:type="dxa"/>
            <w:tcBorders>
              <w:top w:val="single" w:sz="16" w:space="0" w:color="000000"/>
              <w:left w:val="nil"/>
              <w:bottom w:val="single" w:sz="16" w:space="0" w:color="000000"/>
              <w:right w:val="nil"/>
            </w:tcBorders>
            <w:shd w:val="clear" w:color="auto" w:fill="FFFFFF"/>
            <w:vAlign w:val="bottom"/>
          </w:tcPr>
          <w:p w14:paraId="00DBDC50" w14:textId="77777777" w:rsidR="00890C24" w:rsidRPr="00CA6E1B" w:rsidRDefault="00890C24" w:rsidP="001E5B70">
            <w:pPr>
              <w:pStyle w:val="8ParagrafAwal-FirstParagraph"/>
              <w:ind w:left="4" w:firstLine="4"/>
              <w:rPr>
                <w:lang w:val="en-US"/>
              </w:rPr>
            </w:pPr>
            <w:r w:rsidRPr="00CA6E1B">
              <w:rPr>
                <w:lang w:val="en"/>
              </w:rPr>
              <w:t>Std. Error of the Estimate</w:t>
            </w:r>
          </w:p>
        </w:tc>
      </w:tr>
      <w:tr w:rsidR="00890C24" w:rsidRPr="00CA6E1B" w14:paraId="259F6E48" w14:textId="77777777" w:rsidTr="00890C24">
        <w:trPr>
          <w:gridAfter w:val="1"/>
          <w:wAfter w:w="263" w:type="dxa"/>
          <w:cantSplit/>
          <w:jc w:val="center"/>
        </w:trPr>
        <w:tc>
          <w:tcPr>
            <w:tcW w:w="993" w:type="dxa"/>
            <w:tcBorders>
              <w:top w:val="single" w:sz="16" w:space="0" w:color="000000"/>
              <w:left w:val="nil"/>
              <w:bottom w:val="single" w:sz="16" w:space="0" w:color="000000"/>
              <w:right w:val="nil"/>
            </w:tcBorders>
            <w:shd w:val="clear" w:color="auto" w:fill="FFFFFF"/>
            <w:vAlign w:val="center"/>
          </w:tcPr>
          <w:p w14:paraId="3C374EFC" w14:textId="77777777" w:rsidR="00890C24" w:rsidRPr="00CA6E1B" w:rsidRDefault="00890C24" w:rsidP="00890C24">
            <w:pPr>
              <w:pStyle w:val="8ParagrafAwal-FirstParagraph"/>
              <w:rPr>
                <w:lang w:val="en-US"/>
              </w:rPr>
            </w:pPr>
            <w:r w:rsidRPr="00CA6E1B">
              <w:rPr>
                <w:lang w:val="en"/>
              </w:rPr>
              <w:t>,341</w:t>
            </w:r>
            <w:r w:rsidRPr="00CA6E1B">
              <w:rPr>
                <w:vertAlign w:val="superscript"/>
                <w:lang w:val="en"/>
              </w:rPr>
              <w:t>a</w:t>
            </w:r>
          </w:p>
        </w:tc>
        <w:tc>
          <w:tcPr>
            <w:tcW w:w="1134" w:type="dxa"/>
            <w:tcBorders>
              <w:top w:val="single" w:sz="16" w:space="0" w:color="000000"/>
              <w:left w:val="nil"/>
              <w:bottom w:val="single" w:sz="16" w:space="0" w:color="000000"/>
              <w:right w:val="nil"/>
            </w:tcBorders>
            <w:shd w:val="clear" w:color="auto" w:fill="FFFFFF"/>
            <w:vAlign w:val="center"/>
          </w:tcPr>
          <w:p w14:paraId="30DDE078" w14:textId="77777777" w:rsidR="00890C24" w:rsidRPr="00CA6E1B" w:rsidRDefault="00890C24" w:rsidP="00890C24">
            <w:pPr>
              <w:pStyle w:val="8ParagrafAwal-FirstParagraph"/>
              <w:rPr>
                <w:lang w:val="en-US"/>
              </w:rPr>
            </w:pPr>
            <w:r w:rsidRPr="00CA6E1B">
              <w:rPr>
                <w:lang w:val="en"/>
              </w:rPr>
              <w:t>,116</w:t>
            </w:r>
          </w:p>
        </w:tc>
        <w:tc>
          <w:tcPr>
            <w:tcW w:w="1417" w:type="dxa"/>
            <w:tcBorders>
              <w:top w:val="single" w:sz="16" w:space="0" w:color="000000"/>
              <w:left w:val="nil"/>
              <w:bottom w:val="single" w:sz="16" w:space="0" w:color="000000"/>
              <w:right w:val="nil"/>
            </w:tcBorders>
            <w:shd w:val="clear" w:color="auto" w:fill="FFFFFF"/>
            <w:vAlign w:val="center"/>
          </w:tcPr>
          <w:p w14:paraId="4AF91F54" w14:textId="77777777" w:rsidR="00890C24" w:rsidRPr="00CA6E1B" w:rsidRDefault="00890C24" w:rsidP="00890C24">
            <w:pPr>
              <w:pStyle w:val="8ParagrafAwal-FirstParagraph"/>
              <w:rPr>
                <w:lang w:val="en-US"/>
              </w:rPr>
            </w:pPr>
            <w:r w:rsidRPr="00CA6E1B">
              <w:rPr>
                <w:lang w:val="en"/>
              </w:rPr>
              <w:t>,106</w:t>
            </w:r>
          </w:p>
        </w:tc>
        <w:tc>
          <w:tcPr>
            <w:tcW w:w="1985" w:type="dxa"/>
            <w:tcBorders>
              <w:top w:val="single" w:sz="16" w:space="0" w:color="000000"/>
              <w:left w:val="nil"/>
              <w:bottom w:val="single" w:sz="16" w:space="0" w:color="000000"/>
              <w:right w:val="nil"/>
            </w:tcBorders>
            <w:shd w:val="clear" w:color="auto" w:fill="FFFFFF"/>
            <w:vAlign w:val="center"/>
          </w:tcPr>
          <w:p w14:paraId="5233BB25" w14:textId="77777777" w:rsidR="00890C24" w:rsidRPr="00CA6E1B" w:rsidRDefault="00890C24" w:rsidP="00890C24">
            <w:pPr>
              <w:pStyle w:val="8ParagrafAwal-FirstParagraph"/>
              <w:rPr>
                <w:lang w:val="en-US"/>
              </w:rPr>
            </w:pPr>
            <w:r w:rsidRPr="00CA6E1B">
              <w:rPr>
                <w:lang w:val="en"/>
              </w:rPr>
              <w:t>5,71432</w:t>
            </w:r>
          </w:p>
        </w:tc>
      </w:tr>
      <w:tr w:rsidR="00890C24" w:rsidRPr="00CA6E1B" w14:paraId="44506977" w14:textId="77777777" w:rsidTr="00890C24">
        <w:trPr>
          <w:cantSplit/>
          <w:trHeight w:val="165"/>
          <w:jc w:val="center"/>
        </w:trPr>
        <w:tc>
          <w:tcPr>
            <w:tcW w:w="5792" w:type="dxa"/>
            <w:gridSpan w:val="5"/>
            <w:tcBorders>
              <w:top w:val="nil"/>
              <w:left w:val="nil"/>
              <w:bottom w:val="nil"/>
              <w:right w:val="nil"/>
            </w:tcBorders>
            <w:shd w:val="clear" w:color="auto" w:fill="FFFFFF"/>
          </w:tcPr>
          <w:p w14:paraId="705692F3" w14:textId="77777777" w:rsidR="00890C24" w:rsidRPr="00CA6E1B" w:rsidRDefault="00890C24" w:rsidP="00890C24">
            <w:pPr>
              <w:pStyle w:val="8ParagrafAwal-FirstParagraph"/>
              <w:rPr>
                <w:lang w:val="en-US"/>
              </w:rPr>
            </w:pPr>
            <w:r w:rsidRPr="00CA6E1B">
              <w:rPr>
                <w:lang w:val="en"/>
              </w:rPr>
              <w:t>a. Predictors: (Constant), Family Social Support</w:t>
            </w:r>
          </w:p>
        </w:tc>
      </w:tr>
    </w:tbl>
    <w:p w14:paraId="6F398CFB" w14:textId="28E9995C" w:rsidR="00AD3AD4" w:rsidRPr="00CA6E1B" w:rsidRDefault="00034961" w:rsidP="00890C24">
      <w:pPr>
        <w:pStyle w:val="8ParagrafAwal-FirstParagraph"/>
        <w:spacing w:before="240"/>
      </w:pPr>
      <w:r w:rsidRPr="00CA6E1B">
        <w:rPr>
          <w:lang w:val="en"/>
        </w:rPr>
        <w:t>From table 6, the value of the coefficient of determination (R</w:t>
      </w:r>
      <w:r w:rsidRPr="00CA6E1B">
        <w:rPr>
          <w:vertAlign w:val="superscript"/>
          <w:lang w:val="en"/>
        </w:rPr>
        <w:t>2</w:t>
      </w:r>
      <w:r w:rsidRPr="00CA6E1B">
        <w:rPr>
          <w:lang w:val="en"/>
        </w:rPr>
        <w:t xml:space="preserve">) is indicated by the value of </w:t>
      </w:r>
      <w:r w:rsidR="001E5B70">
        <w:rPr>
          <w:lang w:val="en"/>
        </w:rPr>
        <w:t>the A</w:t>
      </w:r>
      <w:r w:rsidRPr="00CA6E1B">
        <w:rPr>
          <w:lang w:val="en"/>
        </w:rPr>
        <w:t xml:space="preserve">djusted R </w:t>
      </w:r>
      <w:r w:rsidR="001E5B70">
        <w:rPr>
          <w:lang w:val="en"/>
        </w:rPr>
        <w:t>s</w:t>
      </w:r>
      <w:r w:rsidRPr="00CA6E1B">
        <w:rPr>
          <w:lang w:val="en"/>
        </w:rPr>
        <w:t xml:space="preserve">quare, which is 0.106 so that when referring to the provisions of the interpretation of the coefficient of determination, it falls into the very low category, which is at an interval of 0.00-0.199. Thus, the influence </w:t>
      </w:r>
      <w:r w:rsidR="001E5B70">
        <w:rPr>
          <w:lang w:val="en"/>
        </w:rPr>
        <w:t>of</w:t>
      </w:r>
      <w:r w:rsidRPr="00CA6E1B">
        <w:rPr>
          <w:lang w:val="en"/>
        </w:rPr>
        <w:t xml:space="preserve"> family social support on student engagement in online learning at SDN </w:t>
      </w:r>
      <w:proofErr w:type="spellStart"/>
      <w:r w:rsidRPr="00CA6E1B">
        <w:rPr>
          <w:lang w:val="en"/>
        </w:rPr>
        <w:t>Jejeruk</w:t>
      </w:r>
      <w:proofErr w:type="spellEnd"/>
      <w:r w:rsidRPr="00CA6E1B">
        <w:rPr>
          <w:lang w:val="en"/>
        </w:rPr>
        <w:t xml:space="preserve"> was 10.6% while 89.4% was influenced by other independent variables that were not discussed in this study.</w:t>
      </w:r>
    </w:p>
    <w:p w14:paraId="0DE27E56" w14:textId="77777777" w:rsidR="00CA7F4C" w:rsidRPr="00CA6E1B" w:rsidRDefault="00137086" w:rsidP="001245A4">
      <w:pPr>
        <w:pStyle w:val="Judul1"/>
        <w:rPr>
          <w:lang w:val="id-ID" w:eastAsia="id-ID"/>
        </w:rPr>
      </w:pPr>
      <w:r w:rsidRPr="00CA6E1B">
        <w:rPr>
          <w:lang w:val="en"/>
        </w:rPr>
        <w:t>Discussion</w:t>
      </w:r>
    </w:p>
    <w:p w14:paraId="0E8F07E2" w14:textId="516614B4" w:rsidR="00034961" w:rsidRPr="00CA6E1B" w:rsidRDefault="00034961" w:rsidP="00034961">
      <w:pPr>
        <w:pStyle w:val="8ParagrafAwal-FirstParagraph"/>
      </w:pPr>
      <w:bookmarkStart w:id="1" w:name="_Hlk108786141"/>
      <w:r w:rsidRPr="00CA6E1B">
        <w:rPr>
          <w:lang w:val="en"/>
        </w:rPr>
        <w:t xml:space="preserve">Referring to the results of the study, it can be seen that the level of family social support in online learning as a whole is in the high category. This </w:t>
      </w:r>
      <w:r w:rsidR="00B101AF" w:rsidRPr="00CA6E1B">
        <w:rPr>
          <w:lang w:val="en"/>
        </w:rPr>
        <w:t>has the meaning and understanding</w:t>
      </w:r>
      <w:r w:rsidRPr="00CA6E1B">
        <w:rPr>
          <w:lang w:val="en"/>
        </w:rPr>
        <w:t xml:space="preserve"> that the students of SDN </w:t>
      </w:r>
      <w:proofErr w:type="spellStart"/>
      <w:r w:rsidRPr="00CA6E1B">
        <w:rPr>
          <w:lang w:val="en"/>
        </w:rPr>
        <w:t>Jejeruk</w:t>
      </w:r>
      <w:proofErr w:type="spellEnd"/>
      <w:r w:rsidRPr="00CA6E1B">
        <w:rPr>
          <w:lang w:val="en"/>
        </w:rPr>
        <w:t xml:space="preserve"> as a whole have confidence that they are cared for, valued, and assisted by their closest family in participating in online learning activities. This family social support is based on the opinion of </w:t>
      </w:r>
      <w:proofErr w:type="spellStart"/>
      <w:r w:rsidRPr="00CA6E1B">
        <w:rPr>
          <w:lang w:val="en"/>
        </w:rPr>
        <w:t>Sarafino</w:t>
      </w:r>
      <w:proofErr w:type="spellEnd"/>
      <w:r w:rsidRPr="00CA6E1B">
        <w:rPr>
          <w:lang w:val="en"/>
        </w:rPr>
        <w:t xml:space="preserve"> &amp; Timothy (2011) who called this social support of the family obtained from 4 aspects.</w:t>
      </w:r>
    </w:p>
    <w:p w14:paraId="23561396" w14:textId="7DCD2D74" w:rsidR="00034961" w:rsidRPr="00CA6E1B" w:rsidRDefault="00034961" w:rsidP="00034961">
      <w:pPr>
        <w:pStyle w:val="8ParagrafAwal-FirstParagraph"/>
      </w:pPr>
      <w:r w:rsidRPr="00CA6E1B">
        <w:rPr>
          <w:lang w:val="en"/>
        </w:rPr>
        <w:t>In the first aspect</w:t>
      </w:r>
      <w:r w:rsidR="00B101AF" w:rsidRPr="00CA6E1B">
        <w:rPr>
          <w:lang w:val="en"/>
        </w:rPr>
        <w:t xml:space="preserve">, students of </w:t>
      </w:r>
      <w:r w:rsidRPr="00CA6E1B">
        <w:rPr>
          <w:lang w:val="en"/>
        </w:rPr>
        <w:t xml:space="preserve">SDN </w:t>
      </w:r>
      <w:proofErr w:type="spellStart"/>
      <w:r w:rsidRPr="00CA6E1B">
        <w:rPr>
          <w:lang w:val="en"/>
        </w:rPr>
        <w:t>Jejeruk</w:t>
      </w:r>
      <w:proofErr w:type="spellEnd"/>
      <w:r w:rsidRPr="00CA6E1B">
        <w:rPr>
          <w:lang w:val="en"/>
        </w:rPr>
        <w:t xml:space="preserve"> are emotionally supported by their families to take part in online learning optimally. The very high emotional support felt by the students of SDN </w:t>
      </w:r>
      <w:proofErr w:type="spellStart"/>
      <w:r w:rsidRPr="00CA6E1B">
        <w:rPr>
          <w:lang w:val="en"/>
        </w:rPr>
        <w:t>Jejeruk</w:t>
      </w:r>
      <w:proofErr w:type="spellEnd"/>
      <w:r w:rsidRPr="00CA6E1B">
        <w:rPr>
          <w:lang w:val="en"/>
        </w:rPr>
        <w:t xml:space="preserve"> can be seen </w:t>
      </w:r>
      <w:r w:rsidR="001E5B70">
        <w:rPr>
          <w:lang w:val="en"/>
        </w:rPr>
        <w:t>in</w:t>
      </w:r>
      <w:r w:rsidRPr="00CA6E1B">
        <w:rPr>
          <w:lang w:val="en"/>
        </w:rPr>
        <w:t xml:space="preserve"> the provision of empathy and care </w:t>
      </w:r>
      <w:r w:rsidR="00B101AF" w:rsidRPr="00CA6E1B">
        <w:rPr>
          <w:lang w:val="en"/>
        </w:rPr>
        <w:t>by</w:t>
      </w:r>
      <w:r w:rsidRPr="00CA6E1B">
        <w:rPr>
          <w:lang w:val="en"/>
        </w:rPr>
        <w:t xml:space="preserve"> their families</w:t>
      </w:r>
      <w:r w:rsidR="00B101AF" w:rsidRPr="00CA6E1B">
        <w:rPr>
          <w:lang w:val="en"/>
        </w:rPr>
        <w:t xml:space="preserve"> at home</w:t>
      </w:r>
      <w:r w:rsidRPr="00CA6E1B">
        <w:rPr>
          <w:lang w:val="en"/>
        </w:rPr>
        <w:t>. Students feel that the family</w:t>
      </w:r>
      <w:r w:rsidR="00B101AF" w:rsidRPr="00CA6E1B">
        <w:rPr>
          <w:lang w:val="en"/>
        </w:rPr>
        <w:t xml:space="preserve"> also</w:t>
      </w:r>
      <w:r w:rsidRPr="00CA6E1B">
        <w:rPr>
          <w:lang w:val="en"/>
        </w:rPr>
        <w:t xml:space="preserve"> cares about their learning activities, this is shown when the family takes the time to ask questions and discuss online learning activities in between</w:t>
      </w:r>
      <w:r w:rsidR="00B101AF" w:rsidRPr="00CA6E1B">
        <w:rPr>
          <w:lang w:val="en"/>
        </w:rPr>
        <w:t xml:space="preserve"> their respective busy lives</w:t>
      </w:r>
      <w:r w:rsidRPr="00CA6E1B">
        <w:rPr>
          <w:lang w:val="en"/>
        </w:rPr>
        <w:t>. In particular, this emotional support will present warm and harmonious family conditions so that it will trigger optimal student development and growth (</w:t>
      </w:r>
      <w:proofErr w:type="spellStart"/>
      <w:r w:rsidRPr="00CA6E1B">
        <w:rPr>
          <w:lang w:val="en"/>
        </w:rPr>
        <w:t>Quardona</w:t>
      </w:r>
      <w:proofErr w:type="spellEnd"/>
      <w:r w:rsidRPr="00CA6E1B">
        <w:rPr>
          <w:lang w:val="en"/>
        </w:rPr>
        <w:t xml:space="preserve"> &amp; Agustina, 2019)</w:t>
      </w:r>
      <w:r w:rsidR="00890C24" w:rsidRPr="00CA6E1B">
        <w:rPr>
          <w:lang w:val="en"/>
        </w:rPr>
        <w:t xml:space="preserve">. </w:t>
      </w:r>
      <w:r>
        <w:rPr>
          <w:lang w:val="en"/>
        </w:rPr>
        <w:t xml:space="preserve"> </w:t>
      </w:r>
      <w:r w:rsidRPr="00CA6E1B">
        <w:rPr>
          <w:lang w:val="en"/>
        </w:rPr>
        <w:t xml:space="preserve">In the second aspect, students of SDN </w:t>
      </w:r>
      <w:proofErr w:type="spellStart"/>
      <w:r w:rsidRPr="00CA6E1B">
        <w:rPr>
          <w:lang w:val="en"/>
        </w:rPr>
        <w:t>Jejeruk</w:t>
      </w:r>
      <w:proofErr w:type="spellEnd"/>
      <w:r w:rsidRPr="00CA6E1B">
        <w:rPr>
          <w:lang w:val="en"/>
        </w:rPr>
        <w:t xml:space="preserve"> received award support in the high category from their families. The support of this award shows the appreciation of the family for all activities in online learning carried out by students. Pratiwi &amp; </w:t>
      </w:r>
      <w:proofErr w:type="spellStart"/>
      <w:r w:rsidRPr="00CA6E1B">
        <w:rPr>
          <w:lang w:val="en"/>
        </w:rPr>
        <w:t>Laksmiwati</w:t>
      </w:r>
      <w:proofErr w:type="spellEnd"/>
      <w:r w:rsidRPr="00CA6E1B">
        <w:rPr>
          <w:lang w:val="en"/>
        </w:rPr>
        <w:t xml:space="preserve"> (2020) said that the provision of this award support can help students increase their abilities and appreciation for themselves so that they can reduce their stress.</w:t>
      </w:r>
    </w:p>
    <w:p w14:paraId="2B9BADB8" w14:textId="168A1992" w:rsidR="00034961" w:rsidRPr="00CA6E1B" w:rsidRDefault="00034961" w:rsidP="00034961">
      <w:pPr>
        <w:pStyle w:val="8ParagrafAwal-FirstParagraph"/>
      </w:pPr>
      <w:r w:rsidRPr="00CA6E1B">
        <w:rPr>
          <w:lang w:val="en"/>
        </w:rPr>
        <w:lastRenderedPageBreak/>
        <w:t xml:space="preserve">The third aspect of instrumental support for students of SDN </w:t>
      </w:r>
      <w:proofErr w:type="spellStart"/>
      <w:r w:rsidRPr="00CA6E1B">
        <w:rPr>
          <w:lang w:val="en"/>
        </w:rPr>
        <w:t>Jejeruk</w:t>
      </w:r>
      <w:proofErr w:type="spellEnd"/>
      <w:r w:rsidRPr="00CA6E1B">
        <w:rPr>
          <w:lang w:val="en"/>
        </w:rPr>
        <w:t xml:space="preserve"> also falls into a high category characterized by facilities for online learning already provided by their families. These facilities consist of physical facilities supporting online learning such as electronic devices such as cellphones, tablets, or laptops along with the internet network that ha</w:t>
      </w:r>
      <w:r w:rsidR="001E5B70">
        <w:rPr>
          <w:lang w:val="en"/>
        </w:rPr>
        <w:t>s</w:t>
      </w:r>
      <w:r w:rsidRPr="00CA6E1B">
        <w:rPr>
          <w:lang w:val="en"/>
        </w:rPr>
        <w:t xml:space="preserve"> been provided by the student's family in addition to the provision of non-physical facilities such as additional lessons (private tutoring). The instrumental support provided by the family makes students feel served so that the family can convey the message more comfortably (</w:t>
      </w:r>
      <w:proofErr w:type="spellStart"/>
      <w:r w:rsidRPr="00CA6E1B">
        <w:rPr>
          <w:lang w:val="en"/>
        </w:rPr>
        <w:t>Quardona</w:t>
      </w:r>
      <w:proofErr w:type="spellEnd"/>
      <w:r w:rsidRPr="00CA6E1B">
        <w:rPr>
          <w:lang w:val="en"/>
        </w:rPr>
        <w:t xml:space="preserve"> &amp; Agustina, 2019)</w:t>
      </w:r>
      <w:r w:rsidR="00890C24" w:rsidRPr="00CA6E1B">
        <w:rPr>
          <w:lang w:val="en"/>
        </w:rPr>
        <w:t xml:space="preserve">. </w:t>
      </w:r>
      <w:r>
        <w:rPr>
          <w:lang w:val="en"/>
        </w:rPr>
        <w:t xml:space="preserve"> </w:t>
      </w:r>
      <w:r w:rsidRPr="00CA6E1B">
        <w:rPr>
          <w:lang w:val="en"/>
        </w:rPr>
        <w:t xml:space="preserve">In the fourth aspect, the students of SDN </w:t>
      </w:r>
      <w:proofErr w:type="spellStart"/>
      <w:r w:rsidRPr="00CA6E1B">
        <w:rPr>
          <w:lang w:val="en"/>
        </w:rPr>
        <w:t>Jejeruk</w:t>
      </w:r>
      <w:proofErr w:type="spellEnd"/>
      <w:r w:rsidRPr="00CA6E1B">
        <w:rPr>
          <w:lang w:val="en"/>
        </w:rPr>
        <w:t xml:space="preserve"> have received information support from families with high categories. This information support is support in the form of providing advice, direction, information</w:t>
      </w:r>
      <w:r w:rsidR="001E5B70">
        <w:rPr>
          <w:lang w:val="en"/>
        </w:rPr>
        <w:t>,</w:t>
      </w:r>
      <w:r w:rsidRPr="00CA6E1B">
        <w:rPr>
          <w:lang w:val="en"/>
        </w:rPr>
        <w:t xml:space="preserve"> and advice from families to students in participating in online learning. The provision of this information support according to Pratiwi &amp; </w:t>
      </w:r>
      <w:proofErr w:type="spellStart"/>
      <w:r w:rsidRPr="00CA6E1B">
        <w:rPr>
          <w:lang w:val="en"/>
        </w:rPr>
        <w:t>Laksmiwati</w:t>
      </w:r>
      <w:proofErr w:type="spellEnd"/>
      <w:r w:rsidRPr="00CA6E1B">
        <w:rPr>
          <w:lang w:val="en"/>
        </w:rPr>
        <w:t xml:space="preserve"> (2020) is important to help students make more practical and fast decisions. Often students are required to quickly solve simple problems such as completing tasks, with informational support students will be faster and easier to complete due to the support and direction of their families.</w:t>
      </w:r>
    </w:p>
    <w:p w14:paraId="0E642F48" w14:textId="26A0C115" w:rsidR="00034961" w:rsidRPr="00CA6E1B" w:rsidRDefault="00034961" w:rsidP="00034961">
      <w:pPr>
        <w:pStyle w:val="8ParagrafAwal-FirstParagraph"/>
      </w:pPr>
      <w:r w:rsidRPr="00CA6E1B">
        <w:rPr>
          <w:lang w:val="en"/>
        </w:rPr>
        <w:t xml:space="preserve">The level of student engagement in online learning at SDN </w:t>
      </w:r>
      <w:proofErr w:type="spellStart"/>
      <w:r w:rsidRPr="00CA6E1B">
        <w:rPr>
          <w:lang w:val="en"/>
        </w:rPr>
        <w:t>Jejeruk</w:t>
      </w:r>
      <w:proofErr w:type="spellEnd"/>
      <w:r w:rsidRPr="00CA6E1B">
        <w:rPr>
          <w:lang w:val="en"/>
        </w:rPr>
        <w:t xml:space="preserve"> is also in the high category. Student engagement</w:t>
      </w:r>
      <w:r w:rsidR="00B101AF" w:rsidRPr="00CA6E1B">
        <w:rPr>
          <w:lang w:val="en"/>
        </w:rPr>
        <w:t xml:space="preserve"> itself </w:t>
      </w:r>
      <w:r w:rsidRPr="00CA6E1B">
        <w:rPr>
          <w:lang w:val="en"/>
        </w:rPr>
        <w:t xml:space="preserve">is the entire effort of students to be involved in the online learning process. Students of SDN </w:t>
      </w:r>
      <w:proofErr w:type="spellStart"/>
      <w:r w:rsidRPr="00CA6E1B">
        <w:rPr>
          <w:lang w:val="en"/>
        </w:rPr>
        <w:t>Jejeruk</w:t>
      </w:r>
      <w:proofErr w:type="spellEnd"/>
      <w:r w:rsidR="00B101AF" w:rsidRPr="00CA6E1B">
        <w:rPr>
          <w:lang w:val="en"/>
        </w:rPr>
        <w:t xml:space="preserve"> seem to </w:t>
      </w:r>
      <w:r w:rsidRPr="00CA6E1B">
        <w:rPr>
          <w:lang w:val="en"/>
        </w:rPr>
        <w:t xml:space="preserve">have a </w:t>
      </w:r>
      <w:r w:rsidR="00B101AF" w:rsidRPr="00CA6E1B">
        <w:rPr>
          <w:lang w:val="en"/>
        </w:rPr>
        <w:t xml:space="preserve">fairly </w:t>
      </w:r>
      <w:r w:rsidRPr="00CA6E1B">
        <w:rPr>
          <w:lang w:val="en"/>
        </w:rPr>
        <w:t>high business to be actively involved in</w:t>
      </w:r>
      <w:r w:rsidR="00B101AF" w:rsidRPr="00CA6E1B">
        <w:rPr>
          <w:lang w:val="en"/>
        </w:rPr>
        <w:t xml:space="preserve"> the</w:t>
      </w:r>
      <w:r>
        <w:rPr>
          <w:lang w:val="en"/>
        </w:rPr>
        <w:t xml:space="preserve"> online learning process</w:t>
      </w:r>
      <w:r w:rsidRPr="00CA6E1B">
        <w:rPr>
          <w:lang w:val="en"/>
        </w:rPr>
        <w:t xml:space="preserve">. This high level of student engagement is based on the three dimensions of student engagement proposed by Fredricks et al (2004). The first dimension, behavioral engagement shows that students of SDN </w:t>
      </w:r>
      <w:proofErr w:type="spellStart"/>
      <w:r w:rsidRPr="00CA6E1B">
        <w:rPr>
          <w:lang w:val="en"/>
        </w:rPr>
        <w:t>Jejeruk</w:t>
      </w:r>
      <w:proofErr w:type="spellEnd"/>
      <w:r w:rsidRPr="00CA6E1B">
        <w:rPr>
          <w:lang w:val="en"/>
        </w:rPr>
        <w:t xml:space="preserve"> behaviorally show optimal engagement. This high involvement is shown by their presence on schedule in online learning either face-to-face virtually directly via zoom or google</w:t>
      </w:r>
      <w:r w:rsidR="001E5B70">
        <w:rPr>
          <w:lang w:val="en"/>
        </w:rPr>
        <w:t>s</w:t>
      </w:r>
      <w:r w:rsidRPr="00CA6E1B">
        <w:rPr>
          <w:lang w:val="en"/>
        </w:rPr>
        <w:t xml:space="preserve"> meet or not directly meeting virtually but using </w:t>
      </w:r>
      <w:proofErr w:type="spellStart"/>
      <w:r w:rsidRPr="00CA6E1B">
        <w:rPr>
          <w:lang w:val="en"/>
        </w:rPr>
        <w:t>Whatsapp</w:t>
      </w:r>
      <w:proofErr w:type="spellEnd"/>
      <w:r w:rsidRPr="00CA6E1B">
        <w:rPr>
          <w:lang w:val="en"/>
        </w:rPr>
        <w:t xml:space="preserve"> Group. Another thing is also shown when there are students who are unable to convey permission to the teacher, besides that it is also evidenced by the behavior of students who comply with the norms that apply in online learning.</w:t>
      </w:r>
    </w:p>
    <w:p w14:paraId="4654C8F8" w14:textId="2B4B515B" w:rsidR="00034961" w:rsidRPr="00CA6E1B" w:rsidRDefault="00034961" w:rsidP="00034961">
      <w:pPr>
        <w:pStyle w:val="8ParagrafAwal-FirstParagraph"/>
      </w:pPr>
      <w:r w:rsidRPr="00CA6E1B">
        <w:rPr>
          <w:lang w:val="en"/>
        </w:rPr>
        <w:t xml:space="preserve">The second dimension, emotional engagement shows that students of SDN </w:t>
      </w:r>
      <w:proofErr w:type="spellStart"/>
      <w:r w:rsidRPr="00CA6E1B">
        <w:rPr>
          <w:lang w:val="en"/>
        </w:rPr>
        <w:t>Jejeruk</w:t>
      </w:r>
      <w:proofErr w:type="spellEnd"/>
      <w:r>
        <w:rPr>
          <w:lang w:val="en"/>
        </w:rPr>
        <w:t xml:space="preserve"> have </w:t>
      </w:r>
      <w:r w:rsidRPr="00CA6E1B">
        <w:rPr>
          <w:lang w:val="en"/>
        </w:rPr>
        <w:t xml:space="preserve">an emotional involvement in online learning in a high category, this is shown by their interest in online learning. As stated by </w:t>
      </w:r>
      <w:proofErr w:type="spellStart"/>
      <w:r w:rsidRPr="00CA6E1B">
        <w:rPr>
          <w:lang w:val="en"/>
        </w:rPr>
        <w:t>Junianto</w:t>
      </w:r>
      <w:proofErr w:type="spellEnd"/>
      <w:r w:rsidRPr="00CA6E1B">
        <w:rPr>
          <w:lang w:val="en"/>
        </w:rPr>
        <w:t xml:space="preserve"> et al. (2021) that this emotional involvement is influenced by the sense of comfort that students get from the learning process, intimate friendships</w:t>
      </w:r>
      <w:r w:rsidR="001E5B70">
        <w:rPr>
          <w:lang w:val="en"/>
        </w:rPr>
        <w:t>,</w:t>
      </w:r>
      <w:r w:rsidRPr="00CA6E1B">
        <w:rPr>
          <w:lang w:val="en"/>
        </w:rPr>
        <w:t xml:space="preserve"> and pleasant teachers. Online learning at SDN </w:t>
      </w:r>
      <w:proofErr w:type="spellStart"/>
      <w:r w:rsidRPr="00CA6E1B">
        <w:rPr>
          <w:lang w:val="en"/>
        </w:rPr>
        <w:t>Jejeruk</w:t>
      </w:r>
      <w:proofErr w:type="spellEnd"/>
      <w:r w:rsidRPr="00CA6E1B">
        <w:rPr>
          <w:lang w:val="en"/>
        </w:rPr>
        <w:t xml:space="preserve"> itself is carried out not every day so that these students feel curious about the materials that will be discussed in online learning. Online learning at SDN </w:t>
      </w:r>
      <w:proofErr w:type="spellStart"/>
      <w:r w:rsidRPr="00CA6E1B">
        <w:rPr>
          <w:lang w:val="en"/>
        </w:rPr>
        <w:t>Jejeruk</w:t>
      </w:r>
      <w:proofErr w:type="spellEnd"/>
      <w:r w:rsidRPr="00CA6E1B">
        <w:rPr>
          <w:lang w:val="en"/>
        </w:rPr>
        <w:t xml:space="preserve"> is also not carried out for a very long duration of only about 50 minutes so that it is not felt to make students bored and saturated</w:t>
      </w:r>
      <w:r w:rsidR="00706711" w:rsidRPr="00CA6E1B">
        <w:rPr>
          <w:lang w:val="en"/>
        </w:rPr>
        <w:t xml:space="preserve">. </w:t>
      </w:r>
      <w:r>
        <w:rPr>
          <w:lang w:val="en"/>
        </w:rPr>
        <w:t xml:space="preserve"> </w:t>
      </w:r>
      <w:r w:rsidRPr="00CA6E1B">
        <w:rPr>
          <w:lang w:val="en"/>
        </w:rPr>
        <w:t xml:space="preserve">The third dimension is cognitive engagement, where the results of </w:t>
      </w:r>
      <w:r w:rsidR="001E5B70">
        <w:rPr>
          <w:lang w:val="en"/>
        </w:rPr>
        <w:t xml:space="preserve">the </w:t>
      </w:r>
      <w:r w:rsidRPr="00CA6E1B">
        <w:rPr>
          <w:lang w:val="en"/>
        </w:rPr>
        <w:t xml:space="preserve">data analysis above show that the cognitive engagement of SDN </w:t>
      </w:r>
      <w:proofErr w:type="spellStart"/>
      <w:r w:rsidRPr="00CA6E1B">
        <w:rPr>
          <w:lang w:val="en"/>
        </w:rPr>
        <w:t>Jejeruk</w:t>
      </w:r>
      <w:proofErr w:type="spellEnd"/>
      <w:r w:rsidRPr="00CA6E1B">
        <w:rPr>
          <w:lang w:val="en"/>
        </w:rPr>
        <w:t xml:space="preserve"> students falls into the medium category. It is undeniable that in participating in online learning, students of SDN </w:t>
      </w:r>
      <w:proofErr w:type="spellStart"/>
      <w:r w:rsidRPr="00CA6E1B">
        <w:rPr>
          <w:lang w:val="en"/>
        </w:rPr>
        <w:t>Jejeruk</w:t>
      </w:r>
      <w:proofErr w:type="spellEnd"/>
      <w:r w:rsidRPr="00CA6E1B">
        <w:rPr>
          <w:lang w:val="en"/>
        </w:rPr>
        <w:t xml:space="preserve"> are still not optimally involved in the mind or cognitively. Even Idris et al. (2018) in their research stated that the cognitive engagement of students in Indonesia is classified as very low. The level of cognitive engagement at SDN </w:t>
      </w:r>
      <w:proofErr w:type="spellStart"/>
      <w:r w:rsidRPr="00CA6E1B">
        <w:rPr>
          <w:lang w:val="en"/>
        </w:rPr>
        <w:t>Jejeruk</w:t>
      </w:r>
      <w:proofErr w:type="spellEnd"/>
      <w:r w:rsidRPr="00CA6E1B">
        <w:rPr>
          <w:lang w:val="en"/>
        </w:rPr>
        <w:t xml:space="preserve"> is characterized by students' lack of remembering the materials presented in online learning, students are less focused on teacher explanations.</w:t>
      </w:r>
    </w:p>
    <w:p w14:paraId="3DAEA364" w14:textId="681594AF" w:rsidR="00034961" w:rsidRPr="00CA6E1B" w:rsidRDefault="00034961" w:rsidP="00034961">
      <w:pPr>
        <w:pStyle w:val="8ParagrafAwal-FirstParagraph"/>
      </w:pPr>
      <w:r w:rsidRPr="00CA6E1B">
        <w:rPr>
          <w:lang w:val="en"/>
        </w:rPr>
        <w:t xml:space="preserve">The results of this study showed that there was a significant influence between family social support and student engagement in online learning at SDN </w:t>
      </w:r>
      <w:proofErr w:type="spellStart"/>
      <w:r w:rsidRPr="00CA6E1B">
        <w:rPr>
          <w:lang w:val="en"/>
        </w:rPr>
        <w:t>Jejeruk</w:t>
      </w:r>
      <w:proofErr w:type="spellEnd"/>
      <w:r w:rsidRPr="00CA6E1B">
        <w:rPr>
          <w:lang w:val="en"/>
        </w:rPr>
        <w:t xml:space="preserve">, which was 10.6%. Thus, it means that student engagement in online learning at SDN </w:t>
      </w:r>
      <w:proofErr w:type="spellStart"/>
      <w:r w:rsidRPr="00CA6E1B">
        <w:rPr>
          <w:lang w:val="en"/>
        </w:rPr>
        <w:t>Jejeruk</w:t>
      </w:r>
      <w:proofErr w:type="spellEnd"/>
      <w:r w:rsidRPr="00CA6E1B">
        <w:rPr>
          <w:lang w:val="en"/>
        </w:rPr>
        <w:t xml:space="preserve"> is influenced by social support provided by families to students 10.6% while 89.4% of student engagement in online learning is influenced by other </w:t>
      </w:r>
      <w:r w:rsidR="00B101AF" w:rsidRPr="00CA6E1B">
        <w:rPr>
          <w:lang w:val="en"/>
        </w:rPr>
        <w:t>factors</w:t>
      </w:r>
      <w:r w:rsidRPr="00CA6E1B">
        <w:rPr>
          <w:lang w:val="en"/>
        </w:rPr>
        <w:t xml:space="preserve"> such as student interest, teacher factors, peer friendship factors or other factors. This percentage refers to learning that is carried out online. </w:t>
      </w:r>
    </w:p>
    <w:p w14:paraId="6FBF103D" w14:textId="0D5C673A" w:rsidR="00034961" w:rsidRPr="00CA6E1B" w:rsidRDefault="00034961" w:rsidP="00034961">
      <w:pPr>
        <w:pStyle w:val="8ParagrafAwal-FirstParagraph"/>
      </w:pPr>
      <w:r w:rsidRPr="00CA6E1B">
        <w:rPr>
          <w:lang w:val="en"/>
        </w:rPr>
        <w:t xml:space="preserve">This is in line with the research of Miranti et al (2021) which states that if family social support increases, the level of student engagement will also increase so that when families provide social support to students, they will increase their involvement (engagement) in participating in learning. However, in contrast to the research of Miranti et al (2021) which only focuses </w:t>
      </w:r>
      <w:r w:rsidR="001E5B70">
        <w:rPr>
          <w:lang w:val="en"/>
        </w:rPr>
        <w:t xml:space="preserve">on </w:t>
      </w:r>
      <w:r w:rsidR="00B101AF" w:rsidRPr="00CA6E1B">
        <w:rPr>
          <w:lang w:val="en"/>
        </w:rPr>
        <w:t>and sees the role of</w:t>
      </w:r>
      <w:r w:rsidRPr="00CA6E1B">
        <w:rPr>
          <w:lang w:val="en"/>
        </w:rPr>
        <w:t xml:space="preserve"> parental support</w:t>
      </w:r>
      <w:r w:rsidR="00B101AF" w:rsidRPr="00CA6E1B">
        <w:rPr>
          <w:lang w:val="en"/>
        </w:rPr>
        <w:t>, even</w:t>
      </w:r>
      <w:r w:rsidRPr="00CA6E1B">
        <w:rPr>
          <w:lang w:val="en"/>
        </w:rPr>
        <w:t xml:space="preserve"> when learning is carried out in schools while this research is carried </w:t>
      </w:r>
      <w:r w:rsidRPr="00CA6E1B">
        <w:rPr>
          <w:lang w:val="en"/>
        </w:rPr>
        <w:lastRenderedPageBreak/>
        <w:t>out when online learning is applied and sees social support from all family members and online learning activities are carried out in their respective homes which greatly allows closer interaction of family members with students.</w:t>
      </w:r>
    </w:p>
    <w:p w14:paraId="68F910D6" w14:textId="44B7269F" w:rsidR="00034961" w:rsidRPr="00CA6E1B" w:rsidRDefault="00034961" w:rsidP="00034961">
      <w:pPr>
        <w:pStyle w:val="8ParagrafAwal-FirstParagraph"/>
      </w:pPr>
      <w:r w:rsidRPr="00CA6E1B">
        <w:rPr>
          <w:lang w:val="en"/>
        </w:rPr>
        <w:t xml:space="preserve">The results of this study are also in line with the research of Gil, et al (2021) which states that there is a clear and strong influence between student engagement and the warmth and support provided by their families. However, this study has differences </w:t>
      </w:r>
      <w:r w:rsidR="001E5B70">
        <w:rPr>
          <w:lang w:val="en"/>
        </w:rPr>
        <w:t>from</w:t>
      </w:r>
      <w:r w:rsidRPr="00CA6E1B">
        <w:rPr>
          <w:lang w:val="en"/>
        </w:rPr>
        <w:t xml:space="preserve"> the research of Gil, et al (2021) which only focuses on the influence of family social support on behavioral engagement so emotional engagement and cognitive engagement are not paid much attention </w:t>
      </w:r>
      <w:r w:rsidR="001E5B70">
        <w:rPr>
          <w:lang w:val="en"/>
        </w:rPr>
        <w:t xml:space="preserve">to </w:t>
      </w:r>
      <w:r w:rsidRPr="00CA6E1B">
        <w:rPr>
          <w:lang w:val="en"/>
        </w:rPr>
        <w:t>even though this study reveals that emotional engagement and cognitive engagement can also be influenced by family social support.</w:t>
      </w:r>
    </w:p>
    <w:p w14:paraId="3032C611" w14:textId="2E981B82" w:rsidR="00034961" w:rsidRPr="00CA6E1B" w:rsidRDefault="008050A5" w:rsidP="00D73E21">
      <w:pPr>
        <w:pStyle w:val="TeksIsi"/>
        <w:ind w:firstLine="0"/>
        <w:rPr>
          <w:lang w:val="id-ID" w:eastAsia="id-ID"/>
        </w:rPr>
      </w:pPr>
      <w:r w:rsidRPr="00CA6E1B">
        <w:rPr>
          <w:lang w:val="en"/>
        </w:rPr>
        <w:t xml:space="preserve">From the presentation presented above, it can be said that family social support </w:t>
      </w:r>
      <w:r w:rsidR="001E5B70">
        <w:rPr>
          <w:lang w:val="en"/>
        </w:rPr>
        <w:t>influences</w:t>
      </w:r>
      <w:r w:rsidRPr="00CA6E1B">
        <w:rPr>
          <w:lang w:val="en"/>
        </w:rPr>
        <w:t xml:space="preserve"> student engagement in online learning at SDN </w:t>
      </w:r>
      <w:proofErr w:type="spellStart"/>
      <w:r w:rsidRPr="00CA6E1B">
        <w:rPr>
          <w:lang w:val="en"/>
        </w:rPr>
        <w:t>Jejeruk</w:t>
      </w:r>
      <w:proofErr w:type="spellEnd"/>
      <w:r w:rsidRPr="00CA6E1B">
        <w:rPr>
          <w:lang w:val="en"/>
        </w:rPr>
        <w:t xml:space="preserve">. This means that any social support provided by the family, whether emotional support, reward support, instrumental support, or information support, </w:t>
      </w:r>
      <w:r w:rsidR="001E5B70">
        <w:rPr>
          <w:lang w:val="en"/>
        </w:rPr>
        <w:t>influences</w:t>
      </w:r>
      <w:r w:rsidRPr="00CA6E1B">
        <w:rPr>
          <w:lang w:val="en"/>
        </w:rPr>
        <w:t xml:space="preserve"> student engagement in participating in online learning, both behavioral engagement, emotional engagement, and cognitive engagement. However, in contrast to previous studies in this study, it shows that family social support has a great effect only on behavioral engagement and emotional engagement whereas cognitive engagement is less influential.</w:t>
      </w:r>
      <w:bookmarkEnd w:id="1"/>
    </w:p>
    <w:p w14:paraId="70D3DE90" w14:textId="5EE69436" w:rsidR="00137086" w:rsidRPr="00CA6E1B" w:rsidRDefault="008050A5" w:rsidP="00D73E21">
      <w:pPr>
        <w:pStyle w:val="8ParagrafAwal-FirstParagraph"/>
      </w:pPr>
      <w:r w:rsidRPr="00CA6E1B">
        <w:rPr>
          <w:lang w:val="en"/>
        </w:rPr>
        <w:t>This research has been carried out as optimally as possible, but it does not rule out the possibility of limitations. The limitations in this study are expected to be an input for subsequent research to complement and answer an existing problem. The limitations in this study include not discussing other variables that affect student engageme</w:t>
      </w:r>
      <w:r w:rsidR="00D73E21" w:rsidRPr="00CA6E1B">
        <w:rPr>
          <w:lang w:val="en"/>
        </w:rPr>
        <w:t>nt</w:t>
      </w:r>
      <w:r w:rsidRPr="00CA6E1B">
        <w:rPr>
          <w:lang w:val="en"/>
        </w:rPr>
        <w:t xml:space="preserve"> in online learning other than family social support</w:t>
      </w:r>
      <w:r w:rsidR="00D73E21" w:rsidRPr="00CA6E1B">
        <w:rPr>
          <w:lang w:val="en"/>
        </w:rPr>
        <w:t xml:space="preserve"> so that researchers can then discuss other variables besides that this study was </w:t>
      </w:r>
      <w:r w:rsidRPr="00CA6E1B">
        <w:rPr>
          <w:lang w:val="en"/>
        </w:rPr>
        <w:t>carried out when the COVID-19 pandemic was still ongoing to reduce direct interaction between researchers and respondents which made researchers unable to carry out assistance in a</w:t>
      </w:r>
      <w:r w:rsidR="001E5B70">
        <w:rPr>
          <w:lang w:val="en"/>
        </w:rPr>
        <w:t>n</w:t>
      </w:r>
      <w:r w:rsidRPr="00CA6E1B">
        <w:rPr>
          <w:lang w:val="en"/>
        </w:rPr>
        <w:t xml:space="preserve"> optimal in psychological scale filling and normatively feared charging occurs in some respondents. </w:t>
      </w:r>
    </w:p>
    <w:p w14:paraId="55444EF5" w14:textId="00E91A0D" w:rsidR="00843BF0" w:rsidRPr="0069718E" w:rsidRDefault="00E90816" w:rsidP="00E90816">
      <w:pPr>
        <w:pStyle w:val="Judul1"/>
        <w:rPr>
          <w:lang w:val="id-ID"/>
        </w:rPr>
      </w:pPr>
      <w:r w:rsidRPr="00E90816">
        <w:rPr>
          <w:lang w:val="en"/>
        </w:rPr>
        <w:t>reference</w:t>
      </w:r>
    </w:p>
    <w:p w14:paraId="477E4F8F" w14:textId="53D3F647" w:rsidR="00E90816" w:rsidRPr="009B6BCE" w:rsidRDefault="00E90816" w:rsidP="00E90816">
      <w:pPr>
        <w:pStyle w:val="9xxReferences"/>
        <w:ind w:left="709" w:hanging="709"/>
        <w:rPr>
          <w:lang w:val="en-US"/>
        </w:rPr>
      </w:pPr>
      <w:r w:rsidRPr="009B6BCE">
        <w:rPr>
          <w:lang w:val="en-US"/>
        </w:rPr>
        <w:t xml:space="preserve">Amseke, F. (2018). Pengaruh Dukungan Sosial Orang Tua Terhadap Motivasi Berprestasi. </w:t>
      </w:r>
      <w:r w:rsidRPr="009B6BCE">
        <w:rPr>
          <w:i/>
          <w:iCs/>
          <w:lang w:val="en-US"/>
        </w:rPr>
        <w:t>Jurnal Penelitian Dan Pengembangan Pendidikan</w:t>
      </w:r>
      <w:r w:rsidRPr="009B6BCE">
        <w:rPr>
          <w:lang w:val="en-US"/>
        </w:rPr>
        <w:t xml:space="preserve">, </w:t>
      </w:r>
      <w:r w:rsidRPr="009B6BCE">
        <w:rPr>
          <w:i/>
          <w:iCs/>
          <w:lang w:val="en-US"/>
        </w:rPr>
        <w:t>151</w:t>
      </w:r>
      <w:r w:rsidRPr="009B6BCE">
        <w:rPr>
          <w:lang w:val="en-US"/>
        </w:rPr>
        <w:t xml:space="preserve">(1), 10–17. </w:t>
      </w:r>
    </w:p>
    <w:p w14:paraId="53BF002F" w14:textId="77777777" w:rsidR="00E90816" w:rsidRPr="009B6BCE" w:rsidRDefault="00E90816" w:rsidP="00E90816">
      <w:pPr>
        <w:pStyle w:val="9xxReferences"/>
        <w:ind w:left="709" w:hanging="709"/>
        <w:rPr>
          <w:lang w:val="en-US"/>
        </w:rPr>
      </w:pPr>
      <w:r w:rsidRPr="009B6BCE">
        <w:rPr>
          <w:lang w:val="en-US"/>
        </w:rPr>
        <w:t xml:space="preserve">Apollo, &amp; Cahyadi, A. (2012). Konflik Peran Ganda Perempuan Menikah Yang Bekerja Ditinjau Dari Dukungan Sosial Keluarga Dan Penyesuaian Diri. </w:t>
      </w:r>
      <w:r w:rsidRPr="009B6BCE">
        <w:rPr>
          <w:i/>
          <w:iCs/>
          <w:lang w:val="en-US"/>
        </w:rPr>
        <w:t>Widya Warta No. 02 Tahun XXXV I</w:t>
      </w:r>
      <w:r w:rsidRPr="009B6BCE">
        <w:rPr>
          <w:lang w:val="en-US"/>
        </w:rPr>
        <w:t xml:space="preserve">, </w:t>
      </w:r>
      <w:r w:rsidRPr="009B6BCE">
        <w:rPr>
          <w:i/>
          <w:iCs/>
          <w:lang w:val="en-US"/>
        </w:rPr>
        <w:t>000</w:t>
      </w:r>
      <w:r w:rsidRPr="009B6BCE">
        <w:rPr>
          <w:lang w:val="en-US"/>
        </w:rPr>
        <w:t>(02), 230–239.</w:t>
      </w:r>
    </w:p>
    <w:p w14:paraId="6176DFBE" w14:textId="23B019A4" w:rsidR="00E90816" w:rsidRPr="00FF6002" w:rsidRDefault="00E90816" w:rsidP="00E90816">
      <w:pPr>
        <w:ind w:left="709" w:hanging="709"/>
        <w:jc w:val="both"/>
        <w:rPr>
          <w:lang w:eastAsia="id-ID"/>
        </w:rPr>
      </w:pPr>
      <w:r w:rsidRPr="00FF6002">
        <w:rPr>
          <w:lang w:eastAsia="id-ID"/>
        </w:rPr>
        <w:t xml:space="preserve">Artika, M. Y., </w:t>
      </w:r>
      <w:proofErr w:type="spellStart"/>
      <w:r w:rsidRPr="00FF6002">
        <w:rPr>
          <w:lang w:eastAsia="id-ID"/>
        </w:rPr>
        <w:t>Sunawan</w:t>
      </w:r>
      <w:proofErr w:type="spellEnd"/>
      <w:r w:rsidRPr="00FF6002">
        <w:rPr>
          <w:lang w:eastAsia="id-ID"/>
        </w:rPr>
        <w:t xml:space="preserve">, S., &amp; </w:t>
      </w:r>
      <w:proofErr w:type="spellStart"/>
      <w:r w:rsidRPr="00FF6002">
        <w:rPr>
          <w:lang w:eastAsia="id-ID"/>
        </w:rPr>
        <w:t>Awalya</w:t>
      </w:r>
      <w:proofErr w:type="spellEnd"/>
      <w:r w:rsidRPr="00FF6002">
        <w:rPr>
          <w:lang w:eastAsia="id-ID"/>
        </w:rPr>
        <w:t xml:space="preserve">, A. (2021). Mindfulness and Student Engagement: The Mediation Effect of Self Esteem. </w:t>
      </w:r>
      <w:r w:rsidRPr="009B6BCE">
        <w:rPr>
          <w:i/>
          <w:iCs/>
          <w:lang w:eastAsia="id-ID"/>
        </w:rPr>
        <w:t>Jurnal Bimbingan Konseling</w:t>
      </w:r>
      <w:r w:rsidRPr="00FF6002">
        <w:rPr>
          <w:lang w:eastAsia="id-ID"/>
        </w:rPr>
        <w:t xml:space="preserve">, </w:t>
      </w:r>
      <w:r w:rsidRPr="009B6BCE">
        <w:rPr>
          <w:i/>
          <w:iCs/>
          <w:lang w:eastAsia="id-ID"/>
        </w:rPr>
        <w:t>10</w:t>
      </w:r>
      <w:r w:rsidRPr="00FF6002">
        <w:rPr>
          <w:lang w:eastAsia="id-ID"/>
        </w:rPr>
        <w:t xml:space="preserve">(2), 89–98. </w:t>
      </w:r>
    </w:p>
    <w:p w14:paraId="4AD41273" w14:textId="41C77B17" w:rsidR="00E90816" w:rsidRDefault="00E90816" w:rsidP="00E90816">
      <w:pPr>
        <w:pStyle w:val="9xxReferences"/>
        <w:rPr>
          <w:lang w:val="en-US"/>
        </w:rPr>
      </w:pPr>
      <w:r w:rsidRPr="009964D6">
        <w:fldChar w:fldCharType="begin" w:fldLock="1"/>
      </w:r>
      <w:r w:rsidRPr="009964D6">
        <w:instrText xml:space="preserve">ADDIN Mendeley Bibliography CSL_BIBLIOGRAPHY </w:instrText>
      </w:r>
      <w:r w:rsidRPr="009964D6">
        <w:fldChar w:fldCharType="separate"/>
      </w:r>
      <w:r w:rsidRPr="00034961">
        <w:rPr>
          <w:lang w:val="en-US"/>
        </w:rPr>
        <w:t xml:space="preserve">Bagriacik Yilmaz, A., &amp; Banyard, P. (2020). Engagement in Distance Education Settings: A Trend Analysis. </w:t>
      </w:r>
      <w:r w:rsidRPr="00034961">
        <w:rPr>
          <w:i/>
          <w:iCs/>
          <w:lang w:val="en-US"/>
        </w:rPr>
        <w:t>Turkish Online Journal of Distance Education</w:t>
      </w:r>
      <w:r w:rsidRPr="00034961">
        <w:rPr>
          <w:lang w:val="en-US"/>
        </w:rPr>
        <w:t xml:space="preserve">. 101–120. </w:t>
      </w:r>
    </w:p>
    <w:p w14:paraId="38631C9A" w14:textId="77777777" w:rsidR="00E90816" w:rsidRPr="000548BF" w:rsidRDefault="00E90816" w:rsidP="00E90816">
      <w:pPr>
        <w:ind w:left="709" w:hanging="709"/>
        <w:jc w:val="both"/>
      </w:pPr>
      <w:r w:rsidRPr="000548BF">
        <w:t>Bempechat, J., &amp; Shernoff, D. (2012). Parental Influences on Achievement Motivation and Student Engagement. Handbook of Research on Student Engagement, 315- 342.</w:t>
      </w:r>
    </w:p>
    <w:p w14:paraId="35FB3D64" w14:textId="042163D5" w:rsidR="00E90816" w:rsidRPr="000548BF" w:rsidRDefault="00E90816" w:rsidP="00E90816">
      <w:pPr>
        <w:ind w:left="709" w:hanging="709"/>
        <w:jc w:val="both"/>
      </w:pPr>
      <w:r w:rsidRPr="000548BF">
        <w:t xml:space="preserve">Chen, B. Bin, Wiium, N., Dimitrova, R., &amp; Chen, N. (2017). The Relationships between Family, School and Community Support and Boundaries and Student Engagement among Chinese Adolescents. </w:t>
      </w:r>
      <w:r w:rsidRPr="009B6BCE">
        <w:rPr>
          <w:i/>
          <w:iCs/>
        </w:rPr>
        <w:t>Current Psychology</w:t>
      </w:r>
      <w:r w:rsidRPr="000548BF">
        <w:t xml:space="preserve">, </w:t>
      </w:r>
      <w:r w:rsidRPr="009B6BCE">
        <w:rPr>
          <w:i/>
          <w:iCs/>
        </w:rPr>
        <w:t>38</w:t>
      </w:r>
      <w:r w:rsidRPr="000548BF">
        <w:t xml:space="preserve">(3), 705–714. </w:t>
      </w:r>
    </w:p>
    <w:p w14:paraId="026EFD4C" w14:textId="42C65313" w:rsidR="00E90816" w:rsidRPr="009B6BCE" w:rsidRDefault="00E90816" w:rsidP="00E90816">
      <w:pPr>
        <w:ind w:left="709" w:hanging="709"/>
        <w:jc w:val="both"/>
        <w:rPr>
          <w:lang w:val="id-ID"/>
        </w:rPr>
      </w:pPr>
      <w:r w:rsidRPr="000548BF">
        <w:t xml:space="preserve">Christenson, S. L., Wylie, C., &amp; Reschly, A. L. (2012). Handbook of Research on Student Engagement. </w:t>
      </w:r>
      <w:r w:rsidRPr="009B6BCE">
        <w:rPr>
          <w:i/>
          <w:iCs/>
        </w:rPr>
        <w:t>Handbook of Research on Student Engagement</w:t>
      </w:r>
      <w:r w:rsidRPr="000548BF">
        <w:t xml:space="preserve">, </w:t>
      </w:r>
      <w:r w:rsidRPr="009B6BCE">
        <w:rPr>
          <w:i/>
          <w:iCs/>
        </w:rPr>
        <w:t>January 2012</w:t>
      </w:r>
      <w:r w:rsidRPr="000548BF">
        <w:t>, 1–840. https://doi.org/10.1007/978-1-4614-2018-7</w:t>
      </w:r>
      <w:r w:rsidRPr="009B6BCE">
        <w:rPr>
          <w:rFonts w:ascii="Times New Roman" w:hAnsi="Times New Roman"/>
          <w:szCs w:val="24"/>
        </w:rPr>
        <w:t xml:space="preserve"> </w:t>
      </w:r>
      <w:r w:rsidRPr="009B6BCE">
        <w:rPr>
          <w:lang w:val="id-ID"/>
        </w:rPr>
        <w:t xml:space="preserve">Descals-Tomás, A., Rocabert-Beut, E., Abellán-Roselló, L., Gómez-Artiga, A., &amp; Doménech-Betoret, F. (2021). Influence of teacher and family support on university student motivation and engagement. </w:t>
      </w:r>
      <w:r w:rsidRPr="009B6BCE">
        <w:rPr>
          <w:i/>
          <w:iCs/>
          <w:lang w:val="id-ID"/>
        </w:rPr>
        <w:t>International Journal of Environmental Research and Public Health</w:t>
      </w:r>
      <w:r w:rsidRPr="009B6BCE">
        <w:rPr>
          <w:lang w:val="id-ID"/>
        </w:rPr>
        <w:t xml:space="preserve">, </w:t>
      </w:r>
      <w:r w:rsidRPr="009B6BCE">
        <w:rPr>
          <w:i/>
          <w:iCs/>
          <w:lang w:val="id-ID"/>
        </w:rPr>
        <w:t>18</w:t>
      </w:r>
      <w:r w:rsidRPr="009B6BCE">
        <w:rPr>
          <w:lang w:val="id-ID"/>
        </w:rPr>
        <w:t xml:space="preserve">(5), 1–21. </w:t>
      </w:r>
    </w:p>
    <w:p w14:paraId="1CC9F6C7" w14:textId="751C3595" w:rsidR="00E90816" w:rsidRPr="00034961" w:rsidRDefault="00E90816" w:rsidP="00E90816">
      <w:pPr>
        <w:ind w:left="709" w:hanging="709"/>
        <w:jc w:val="both"/>
      </w:pPr>
      <w:r w:rsidRPr="009B6BCE">
        <w:lastRenderedPageBreak/>
        <w:t xml:space="preserve">Devina, C., Savitri, J., &amp; Mogot Pandin, D. A. (2017). Pengaruh Parent Autonomy Support terhadap School Engagement pada Siswa Kelas IV-VI SD “X” di Kota Bandung. </w:t>
      </w:r>
      <w:r w:rsidRPr="009B6BCE">
        <w:rPr>
          <w:i/>
          <w:iCs/>
        </w:rPr>
        <w:t>Humanitas (Jurnal Psikologi)</w:t>
      </w:r>
      <w:r w:rsidRPr="009B6BCE">
        <w:t xml:space="preserve">, </w:t>
      </w:r>
      <w:r w:rsidRPr="009B6BCE">
        <w:rPr>
          <w:i/>
          <w:iCs/>
        </w:rPr>
        <w:t>1</w:t>
      </w:r>
      <w:r w:rsidRPr="009B6BCE">
        <w:t>(1), 11–24. https://doi.org/10.28932/humanitas.v1i1.399</w:t>
      </w:r>
    </w:p>
    <w:p w14:paraId="44D4A144" w14:textId="77777777" w:rsidR="00E90816" w:rsidRPr="00034961" w:rsidRDefault="00E90816" w:rsidP="00E90816">
      <w:pPr>
        <w:pStyle w:val="9xxReferences"/>
        <w:rPr>
          <w:lang w:val="en-US"/>
        </w:rPr>
      </w:pPr>
      <w:r w:rsidRPr="00034961">
        <w:rPr>
          <w:lang w:val="en-US"/>
        </w:rPr>
        <w:t xml:space="preserve">Dewi, Wahyu Aji Fatma (2020) Dampak Covid-19 Terhadap Implementasi Pembelajaran Daring di Sekolah Dasar. </w:t>
      </w:r>
      <w:r w:rsidRPr="00034961">
        <w:rPr>
          <w:i/>
          <w:iCs/>
          <w:lang w:val="en-US"/>
        </w:rPr>
        <w:t>Jurnal Ilmu Pendidikan</w:t>
      </w:r>
      <w:r w:rsidRPr="00034961">
        <w:rPr>
          <w:lang w:val="en-US"/>
        </w:rPr>
        <w:t>. Volume 2 Nomor 1</w:t>
      </w:r>
    </w:p>
    <w:p w14:paraId="6388DBB0" w14:textId="77777777" w:rsidR="00E90816" w:rsidRPr="000548BF" w:rsidRDefault="00E90816" w:rsidP="00E90816">
      <w:pPr>
        <w:ind w:left="709" w:hanging="709"/>
        <w:jc w:val="both"/>
      </w:pPr>
      <w:r w:rsidRPr="000548BF">
        <w:t xml:space="preserve">Dixson, Marcia D. (2015) Measuring Student Engagement in the Online Course: The Online Student Engagement Scale (OSE). </w:t>
      </w:r>
      <w:r w:rsidRPr="009B6BCE">
        <w:rPr>
          <w:i/>
          <w:iCs/>
        </w:rPr>
        <w:t>Online Learning Journal (OLJ),</w:t>
      </w:r>
      <w:r w:rsidRPr="000548BF">
        <w:t xml:space="preserve"> 19(4), 143.</w:t>
      </w:r>
    </w:p>
    <w:p w14:paraId="1460CA47" w14:textId="77777777" w:rsidR="00E90816" w:rsidRPr="000548BF" w:rsidRDefault="00E90816" w:rsidP="00E90816">
      <w:pPr>
        <w:ind w:left="709" w:hanging="709"/>
        <w:jc w:val="both"/>
      </w:pPr>
      <w:r w:rsidRPr="000548BF">
        <w:t xml:space="preserve">Estell, D., &amp; Perdue, N. (2013). Social Support and Behavioral and Affective School Engagement: The Effects of Peers, Parents, and Teachers. </w:t>
      </w:r>
      <w:r w:rsidRPr="009B6BCE">
        <w:rPr>
          <w:i/>
          <w:iCs/>
        </w:rPr>
        <w:t>Psychology in the Schools,</w:t>
      </w:r>
      <w:r w:rsidRPr="000548BF">
        <w:t xml:space="preserve"> Vol 50 No. 4</w:t>
      </w:r>
    </w:p>
    <w:p w14:paraId="2C3B7F3A" w14:textId="77777777" w:rsidR="00E90816" w:rsidRPr="00034961" w:rsidRDefault="00E90816" w:rsidP="00E90816">
      <w:pPr>
        <w:pStyle w:val="9xxReferences"/>
        <w:rPr>
          <w:lang w:val="en-US"/>
        </w:rPr>
      </w:pPr>
      <w:r w:rsidRPr="00034961">
        <w:rPr>
          <w:lang w:val="en-US"/>
        </w:rPr>
        <w:t xml:space="preserve">Fikrie &amp; L. Ariani (2019) Keterlibatan siswa </w:t>
      </w:r>
      <w:r w:rsidRPr="00034961">
        <w:rPr>
          <w:i/>
          <w:iCs/>
          <w:lang w:val="en-US"/>
        </w:rPr>
        <w:t>(student engagement)</w:t>
      </w:r>
      <w:r w:rsidRPr="00034961">
        <w:rPr>
          <w:lang w:val="en-US"/>
        </w:rPr>
        <w:t xml:space="preserve"> di sekolah sebagai salah satu upaya peningkatan keberhasilan siswa di sekolah. </w:t>
      </w:r>
      <w:r w:rsidRPr="00034961">
        <w:rPr>
          <w:i/>
          <w:iCs/>
          <w:lang w:val="en-US"/>
        </w:rPr>
        <w:t xml:space="preserve">Seminar Nasional &amp; Call Paper Psikologi Pendidikan 2019: Menjadi Siswa Yang Efektif di Era Revolusi Industri 4.0. </w:t>
      </w:r>
    </w:p>
    <w:p w14:paraId="018C9F87" w14:textId="77777777" w:rsidR="00E90816" w:rsidRPr="00034961" w:rsidRDefault="00E90816" w:rsidP="00E90816">
      <w:pPr>
        <w:pStyle w:val="9xxReferences"/>
        <w:rPr>
          <w:lang w:val="en-US"/>
        </w:rPr>
      </w:pPr>
      <w:r w:rsidRPr="00034961">
        <w:rPr>
          <w:lang w:val="en-US"/>
        </w:rPr>
        <w:t>Fredricks, J. A., Blumenfeld, P. C., &amp; Paris, A. H. (2004). School Engagement Potential of The Concept. Review of Educational Research, 74(1), 59–109.</w:t>
      </w:r>
    </w:p>
    <w:p w14:paraId="0AD0AE27" w14:textId="77777777" w:rsidR="00E90816" w:rsidRPr="00034961" w:rsidRDefault="00E90816" w:rsidP="00E90816">
      <w:pPr>
        <w:pStyle w:val="9xxReferences"/>
        <w:rPr>
          <w:lang w:val="en-US"/>
        </w:rPr>
      </w:pPr>
      <w:r w:rsidRPr="00034961">
        <w:rPr>
          <w:lang w:val="en-US"/>
        </w:rPr>
        <w:t xml:space="preserve">Gil, A. J., Antelm-Lanzat, A. M., Cacheiro-González, M. L., &amp; Pérez-Navío, E. (2021). The effect of family support on student engagement: Towards the prevention of dropouts. </w:t>
      </w:r>
      <w:r w:rsidRPr="00034961">
        <w:rPr>
          <w:i/>
          <w:iCs/>
          <w:lang w:val="en-US"/>
        </w:rPr>
        <w:t>Psychology in the Schools</w:t>
      </w:r>
      <w:r w:rsidRPr="00034961">
        <w:rPr>
          <w:lang w:val="en-US"/>
        </w:rPr>
        <w:t xml:space="preserve">, </w:t>
      </w:r>
      <w:r w:rsidRPr="00034961">
        <w:rPr>
          <w:i/>
          <w:iCs/>
          <w:lang w:val="en-US"/>
        </w:rPr>
        <w:t>58</w:t>
      </w:r>
      <w:r w:rsidRPr="00034961">
        <w:rPr>
          <w:lang w:val="en-US"/>
        </w:rPr>
        <w:t>(6), 1082–1095</w:t>
      </w:r>
    </w:p>
    <w:p w14:paraId="79CEED7C" w14:textId="77777777" w:rsidR="00E90816" w:rsidRPr="00507278" w:rsidRDefault="00E90816" w:rsidP="00E90816">
      <w:pPr>
        <w:ind w:left="709" w:hanging="709"/>
        <w:jc w:val="both"/>
        <w:rPr>
          <w:lang w:eastAsia="id-ID"/>
        </w:rPr>
      </w:pPr>
      <w:r w:rsidRPr="00507278">
        <w:rPr>
          <w:lang w:eastAsia="id-ID"/>
        </w:rPr>
        <w:t>Gladisia, N., Laily, N., Suci, N., &amp; Puspitaningrum, E. (2022). Gambaran Student Engagement dalam Pembelajaran di Era New Normal Menteri Pendidikan dan Kebudayaan Republik Indonesia mengeluarkan Surat. 9, 26–46.</w:t>
      </w:r>
    </w:p>
    <w:p w14:paraId="02B5B2D0" w14:textId="77777777" w:rsidR="00E90816" w:rsidRPr="00034961" w:rsidRDefault="00E90816" w:rsidP="00E90816">
      <w:pPr>
        <w:pStyle w:val="9xxReferences"/>
        <w:rPr>
          <w:lang w:val="en-US"/>
        </w:rPr>
      </w:pPr>
      <w:r w:rsidRPr="00034961">
        <w:rPr>
          <w:lang w:val="en-US"/>
        </w:rPr>
        <w:t xml:space="preserve">Idris, I. H., Syamsurizal, &amp; Muhammad, D. (2018). Peningkatan Cognitive Engagement Siswa dalam Pembelajaran dengan Pendekatan POE (predict-observe-explain) dan Multimedia Interaktif yang Dikembangkan Sendiri. </w:t>
      </w:r>
      <w:r w:rsidRPr="00034961">
        <w:rPr>
          <w:i/>
          <w:iCs/>
          <w:lang w:val="en-US"/>
        </w:rPr>
        <w:t>Peningkatan Cognitive Engagement Siswa Dalam Pembelajaran Dengan Pendekatan POE (Predict-Observe-Explain) Dan Multimedia Interaktif Yang Dikembangkan Sendiri</w:t>
      </w:r>
      <w:r w:rsidRPr="00034961">
        <w:rPr>
          <w:lang w:val="en-US"/>
        </w:rPr>
        <w:t xml:space="preserve">, </w:t>
      </w:r>
      <w:r w:rsidRPr="00034961">
        <w:rPr>
          <w:i/>
          <w:iCs/>
          <w:lang w:val="en-US"/>
        </w:rPr>
        <w:t>7</w:t>
      </w:r>
      <w:r w:rsidRPr="00034961">
        <w:rPr>
          <w:lang w:val="en-US"/>
        </w:rPr>
        <w:t>(2), 1–25.</w:t>
      </w:r>
    </w:p>
    <w:p w14:paraId="0F998DB9" w14:textId="77777777" w:rsidR="00E90816" w:rsidRPr="00034961" w:rsidRDefault="00E90816" w:rsidP="00E90816">
      <w:pPr>
        <w:pStyle w:val="9xxReferences"/>
        <w:rPr>
          <w:bCs/>
          <w:lang w:val="en-US"/>
        </w:rPr>
      </w:pPr>
      <w:r w:rsidRPr="00034961">
        <w:rPr>
          <w:bCs/>
          <w:lang w:val="en-US"/>
        </w:rPr>
        <w:t xml:space="preserve">Jaya, Indra (2010) </w:t>
      </w:r>
      <w:r w:rsidRPr="00034961">
        <w:rPr>
          <w:bCs/>
          <w:i/>
          <w:iCs/>
          <w:lang w:val="en-US"/>
        </w:rPr>
        <w:t>Statistik Penelitian untuk Pendidikan</w:t>
      </w:r>
      <w:r w:rsidRPr="00034961">
        <w:rPr>
          <w:bCs/>
          <w:lang w:val="en-US"/>
        </w:rPr>
        <w:t>. Bandung: Citapustaka Media Perintis</w:t>
      </w:r>
    </w:p>
    <w:p w14:paraId="10DEBE3A" w14:textId="77777777" w:rsidR="00E90816" w:rsidRPr="00034961" w:rsidRDefault="00E90816" w:rsidP="00E90816">
      <w:pPr>
        <w:pStyle w:val="9xxReferences"/>
        <w:rPr>
          <w:lang w:val="en-US"/>
        </w:rPr>
      </w:pPr>
      <w:r w:rsidRPr="00034961">
        <w:rPr>
          <w:lang w:val="en-US"/>
        </w:rPr>
        <w:t xml:space="preserve">Junianto, M., Bashori, K., &amp; Hidayah, N. (2020). Validitas dan Reliabilitas Skala Student Engagement. </w:t>
      </w:r>
      <w:r w:rsidRPr="00034961">
        <w:rPr>
          <w:i/>
          <w:iCs/>
          <w:lang w:val="en-US"/>
        </w:rPr>
        <w:t>Jurnal RAP (Riset Aktual Psikologi Universitas Negeri Padang)</w:t>
      </w:r>
      <w:r w:rsidRPr="00034961">
        <w:rPr>
          <w:lang w:val="en-US"/>
        </w:rPr>
        <w:t xml:space="preserve">, </w:t>
      </w:r>
      <w:r w:rsidRPr="00034961">
        <w:rPr>
          <w:i/>
          <w:iCs/>
          <w:lang w:val="en-US"/>
        </w:rPr>
        <w:t>11</w:t>
      </w:r>
      <w:r w:rsidRPr="00034961">
        <w:rPr>
          <w:lang w:val="en-US"/>
        </w:rPr>
        <w:t xml:space="preserve">(2), 139. </w:t>
      </w:r>
    </w:p>
    <w:p w14:paraId="4C3478E5" w14:textId="77777777" w:rsidR="00E90816" w:rsidRPr="00034961" w:rsidRDefault="00E90816" w:rsidP="00E90816">
      <w:pPr>
        <w:pStyle w:val="9xxReferences"/>
        <w:rPr>
          <w:lang w:val="en-US"/>
        </w:rPr>
      </w:pPr>
      <w:r w:rsidRPr="00034961">
        <w:rPr>
          <w:lang w:val="en-US"/>
        </w:rPr>
        <w:t xml:space="preserve">Junianto, M., Bashori, K., &amp; Hidayah, N. (2021). Gambaran Student Engagement pada Siswa SMA (Studi Kasus pada Siswa MAN 1 Magelang). </w:t>
      </w:r>
      <w:r w:rsidRPr="00034961">
        <w:rPr>
          <w:i/>
          <w:iCs/>
          <w:lang w:val="en-US"/>
        </w:rPr>
        <w:t>Insight: Jurnal Pemikiran Dan Penelitian Psikologi</w:t>
      </w:r>
      <w:r w:rsidRPr="00034961">
        <w:rPr>
          <w:lang w:val="en-US"/>
        </w:rPr>
        <w:t xml:space="preserve">, </w:t>
      </w:r>
      <w:r w:rsidRPr="00034961">
        <w:rPr>
          <w:i/>
          <w:iCs/>
          <w:lang w:val="en-US"/>
        </w:rPr>
        <w:t>17</w:t>
      </w:r>
      <w:r w:rsidRPr="00034961">
        <w:rPr>
          <w:lang w:val="en-US"/>
        </w:rPr>
        <w:t xml:space="preserve">(1), 47–57. </w:t>
      </w:r>
    </w:p>
    <w:p w14:paraId="140EC5C5" w14:textId="77777777" w:rsidR="00E90816" w:rsidRPr="00034961" w:rsidRDefault="00E90816" w:rsidP="00E90816">
      <w:pPr>
        <w:pStyle w:val="9xxReferences"/>
        <w:rPr>
          <w:lang w:val="en-US"/>
        </w:rPr>
      </w:pPr>
      <w:r w:rsidRPr="00034961">
        <w:rPr>
          <w:lang w:val="en-US"/>
        </w:rPr>
        <w:t xml:space="preserve">Kusrini, Woro &amp; Nanik Prihartanti (2014) Hubungan Dukungan Sosial dan Kepercayaan Diri Dengan Prestasi Bahasa Inggris Siswa Kelas VIII SMP Negeri 6 Boyolali. </w:t>
      </w:r>
      <w:r w:rsidRPr="00034961">
        <w:rPr>
          <w:i/>
          <w:iCs/>
          <w:lang w:val="en-US"/>
        </w:rPr>
        <w:t>Jurnal Penelitian Humaniora</w:t>
      </w:r>
      <w:r w:rsidRPr="00034961">
        <w:rPr>
          <w:lang w:val="en-US"/>
        </w:rPr>
        <w:t xml:space="preserve"> Vol. 15, No. 2</w:t>
      </w:r>
    </w:p>
    <w:p w14:paraId="329AA349" w14:textId="12F2743C" w:rsidR="00E90816" w:rsidRPr="000548BF" w:rsidRDefault="00E90816" w:rsidP="00E90816">
      <w:pPr>
        <w:ind w:left="709" w:hanging="709"/>
        <w:jc w:val="both"/>
      </w:pPr>
      <w:r w:rsidRPr="000548BF">
        <w:t xml:space="preserve">LaNasa, Steven &amp; Cabrera, Alberto &amp; Trangsrud, Heather. (2009). The Construct Validity of Student Engagement: A Confirmatory Factor Analysis Approach. </w:t>
      </w:r>
      <w:r w:rsidRPr="009B6BCE">
        <w:rPr>
          <w:i/>
          <w:iCs/>
        </w:rPr>
        <w:t>Research in Higher Education</w:t>
      </w:r>
      <w:r w:rsidRPr="000548BF">
        <w:t xml:space="preserve">. 50. 315-332. </w:t>
      </w:r>
    </w:p>
    <w:p w14:paraId="36FB6850" w14:textId="7A8CF88A" w:rsidR="00E90816" w:rsidRPr="000548BF" w:rsidRDefault="00E90816" w:rsidP="00E90816">
      <w:pPr>
        <w:ind w:left="709" w:hanging="709"/>
        <w:jc w:val="both"/>
      </w:pPr>
      <w:r w:rsidRPr="00F24025">
        <w:t xml:space="preserve">M. Hu and H. Li, "Student Engagement in Online Learning: A Review," in </w:t>
      </w:r>
      <w:r w:rsidRPr="009B6BCE">
        <w:rPr>
          <w:i/>
          <w:iCs/>
        </w:rPr>
        <w:t>2017 International Symposium on Educational Technology (ISET),</w:t>
      </w:r>
      <w:r w:rsidRPr="00F24025">
        <w:t xml:space="preserve"> Hong Kong, 2017. 39-43. </w:t>
      </w:r>
    </w:p>
    <w:p w14:paraId="15C5C6D3" w14:textId="75F0D5F0" w:rsidR="00E90816" w:rsidRPr="00034961" w:rsidRDefault="00E90816" w:rsidP="00E90816">
      <w:pPr>
        <w:pStyle w:val="9xxReferences"/>
        <w:rPr>
          <w:lang w:val="en-US"/>
        </w:rPr>
      </w:pPr>
      <w:r w:rsidRPr="00034961">
        <w:rPr>
          <w:lang w:val="en-US"/>
        </w:rPr>
        <w:t xml:space="preserve">Marni, Ani &amp; Rudy Yuniawati (2015) Hubungan Antara Dukungan Sosial Dengan Penerimaan Diri pada Lansia di Panti Wredha Budhi Dharma Yogyakarta. </w:t>
      </w:r>
      <w:r w:rsidRPr="00034961">
        <w:rPr>
          <w:i/>
          <w:iCs/>
          <w:lang w:val="en-US"/>
        </w:rPr>
        <w:t>Jurnal Fakultas Psikologi</w:t>
      </w:r>
      <w:r w:rsidRPr="00034961">
        <w:rPr>
          <w:lang w:val="en-US"/>
        </w:rPr>
        <w:t xml:space="preserve"> Vol.</w:t>
      </w:r>
      <w:r>
        <w:rPr>
          <w:lang w:val="en-US"/>
        </w:rPr>
        <w:t xml:space="preserve"> </w:t>
      </w:r>
      <w:r w:rsidRPr="00034961">
        <w:rPr>
          <w:lang w:val="en-US"/>
        </w:rPr>
        <w:t>3 No</w:t>
      </w:r>
      <w:r>
        <w:rPr>
          <w:lang w:val="en-US"/>
        </w:rPr>
        <w:t xml:space="preserve"> </w:t>
      </w:r>
      <w:r w:rsidRPr="00034961">
        <w:rPr>
          <w:lang w:val="en-US"/>
        </w:rPr>
        <w:t>1</w:t>
      </w:r>
    </w:p>
    <w:p w14:paraId="5F693F3A" w14:textId="77777777" w:rsidR="00E90816" w:rsidRPr="00034961" w:rsidRDefault="00E90816" w:rsidP="00E90816">
      <w:pPr>
        <w:pStyle w:val="9xxReferences"/>
        <w:rPr>
          <w:lang w:val="en-US"/>
        </w:rPr>
      </w:pPr>
      <w:r w:rsidRPr="00034961">
        <w:rPr>
          <w:lang w:val="en-US"/>
        </w:rPr>
        <w:t>Miranti, Faradila Cahya, Suwarni Eny, Rahmawati Yuliana Mukti (2021) Pengaruh dukungan sosial orang tua terhadap student engagement pada siswa remaja di SMK XYZ. Discussion Paper. Universitas Al Azhar Indonesia, Jakarta. (Unpublished)</w:t>
      </w:r>
    </w:p>
    <w:p w14:paraId="63AB8536" w14:textId="77777777" w:rsidR="00E90816" w:rsidRPr="00034961" w:rsidRDefault="00E90816" w:rsidP="00E90816">
      <w:pPr>
        <w:pStyle w:val="9xxReferences"/>
        <w:rPr>
          <w:lang w:val="en-US"/>
        </w:rPr>
      </w:pPr>
      <w:r w:rsidRPr="00034961">
        <w:rPr>
          <w:lang w:val="en-US"/>
        </w:rPr>
        <w:t xml:space="preserve">Pratiwi, I. H., &amp; Laksmiwati, H. (2020). Pengaruh dukungan emosional, dukungan penghargaan, dukungan instrumentas dan dukungan informatif terhadap stres pada remaja di yayasan Panti Asuhan Putra Harapan Asrori Malang. </w:t>
      </w:r>
      <w:r w:rsidRPr="00034961">
        <w:rPr>
          <w:i/>
          <w:iCs/>
          <w:lang w:val="en-US"/>
        </w:rPr>
        <w:t>Jurnal Psikologi Universitas Negeri Surabaya</w:t>
      </w:r>
      <w:r w:rsidRPr="00034961">
        <w:rPr>
          <w:lang w:val="en-US"/>
        </w:rPr>
        <w:t>, 274–282.</w:t>
      </w:r>
    </w:p>
    <w:p w14:paraId="46224D19" w14:textId="77777777" w:rsidR="00E90816" w:rsidRPr="00034961" w:rsidRDefault="00E90816" w:rsidP="00E90816">
      <w:pPr>
        <w:pStyle w:val="9xxReferences"/>
        <w:rPr>
          <w:lang w:val="en-US"/>
        </w:rPr>
      </w:pPr>
      <w:r w:rsidRPr="00034961">
        <w:rPr>
          <w:lang w:val="en-US"/>
        </w:rPr>
        <w:lastRenderedPageBreak/>
        <w:t xml:space="preserve">Quardona, Q., &amp; Agustina, M. (2019). Dukungan Emosional dan Instrumental dengan Interaksi Sosial pada Pasien Isolasi Sosial. </w:t>
      </w:r>
      <w:r w:rsidRPr="00034961">
        <w:rPr>
          <w:i/>
          <w:iCs/>
          <w:lang w:val="en-US"/>
        </w:rPr>
        <w:t>Jurnal Ilmiah Ilmu Keperawatan Indonesia</w:t>
      </w:r>
      <w:r w:rsidRPr="00034961">
        <w:rPr>
          <w:lang w:val="en-US"/>
        </w:rPr>
        <w:t xml:space="preserve">, </w:t>
      </w:r>
      <w:r w:rsidRPr="00034961">
        <w:rPr>
          <w:i/>
          <w:iCs/>
          <w:lang w:val="en-US"/>
        </w:rPr>
        <w:t>8</w:t>
      </w:r>
      <w:r w:rsidRPr="00034961">
        <w:rPr>
          <w:lang w:val="en-US"/>
        </w:rPr>
        <w:t>(02), 429–435</w:t>
      </w:r>
    </w:p>
    <w:p w14:paraId="34CD33A0" w14:textId="77777777" w:rsidR="00E90816" w:rsidRPr="000548BF" w:rsidRDefault="00E90816" w:rsidP="00E90816">
      <w:pPr>
        <w:ind w:left="709" w:hanging="709"/>
        <w:jc w:val="both"/>
      </w:pPr>
      <w:r w:rsidRPr="000548BF">
        <w:t xml:space="preserve">Sa’adah, Ulfatus dan Jati Ariati (2018) Hubungan Antara Student Engagement (Keterlibatan Siswa) Dengan Prestasi Akademik Mata Pelajaran Matematika Pada Siswa Kelas XI SMA Negeri 9 Semarang. </w:t>
      </w:r>
      <w:r w:rsidRPr="009B6BCE">
        <w:rPr>
          <w:i/>
          <w:iCs/>
        </w:rPr>
        <w:t>Jurnal Empati</w:t>
      </w:r>
      <w:r w:rsidRPr="000548BF">
        <w:t xml:space="preserve"> Volume 7 Nomor 1</w:t>
      </w:r>
    </w:p>
    <w:p w14:paraId="2CF481D0" w14:textId="77777777" w:rsidR="00E90816" w:rsidRPr="00034961" w:rsidRDefault="00E90816" w:rsidP="00E90816">
      <w:pPr>
        <w:pStyle w:val="9xxReferences"/>
        <w:rPr>
          <w:lang w:val="en-US"/>
        </w:rPr>
      </w:pPr>
      <w:r w:rsidRPr="00034961">
        <w:rPr>
          <w:lang w:val="en-US"/>
        </w:rPr>
        <w:t xml:space="preserve">Sarafino, Edward P., Timothy W. Smith. (2011). </w:t>
      </w:r>
      <w:r w:rsidRPr="00034961">
        <w:rPr>
          <w:i/>
          <w:iCs/>
          <w:lang w:val="en-US"/>
        </w:rPr>
        <w:t>Health Psychology Biopsychosocial Interactions Seventh edition.</w:t>
      </w:r>
      <w:r w:rsidRPr="00034961">
        <w:rPr>
          <w:lang w:val="en-US"/>
        </w:rPr>
        <w:t xml:space="preserve"> United States of America</w:t>
      </w:r>
    </w:p>
    <w:p w14:paraId="7CE98A58" w14:textId="77777777" w:rsidR="00E90816" w:rsidRDefault="00E90816" w:rsidP="00E90816">
      <w:pPr>
        <w:ind w:left="709" w:hanging="709"/>
        <w:jc w:val="both"/>
      </w:pPr>
      <w:r w:rsidRPr="009B6BCE">
        <w:t>Satyaninrum, Ika Rahayu. (2014) Pengaruh School Engagement, Locus of Control, dan Social Support Terhadap Resiliensi Akademik Remaja. TAZKIYA Journal of Psychology Vol. 2 No. 1</w:t>
      </w:r>
    </w:p>
    <w:p w14:paraId="266D4117" w14:textId="77777777" w:rsidR="00E90816" w:rsidRPr="000548BF" w:rsidRDefault="00E90816" w:rsidP="00E90816">
      <w:pPr>
        <w:ind w:left="709" w:hanging="709"/>
        <w:jc w:val="both"/>
      </w:pPr>
      <w:r w:rsidRPr="000548BF">
        <w:t xml:space="preserve">Trowler, Vicki. (2010). </w:t>
      </w:r>
      <w:r w:rsidRPr="009B6BCE">
        <w:rPr>
          <w:i/>
          <w:iCs/>
        </w:rPr>
        <w:t>Student engagement literature review.</w:t>
      </w:r>
      <w:r w:rsidRPr="000548BF">
        <w:t xml:space="preserve"> Lancaster University: Departmen of Educational Research</w:t>
      </w:r>
    </w:p>
    <w:p w14:paraId="3B24D836" w14:textId="77777777" w:rsidR="00E90816" w:rsidRPr="00034961" w:rsidRDefault="00E90816" w:rsidP="00E90816">
      <w:pPr>
        <w:pStyle w:val="9xxReferences"/>
        <w:rPr>
          <w:lang w:val="en-US"/>
        </w:rPr>
      </w:pPr>
      <w:r w:rsidRPr="00034961">
        <w:rPr>
          <w:lang w:val="en-US"/>
        </w:rPr>
        <w:t xml:space="preserve">Wahyuni, N. S. (2016). Hubungan Dukungan Sosial Teman Sebaya dengan Kemampuan Bersosialisasi pada Siswa SMK Negeri 3 Medan. </w:t>
      </w:r>
      <w:r w:rsidRPr="00034961">
        <w:rPr>
          <w:i/>
          <w:iCs/>
          <w:lang w:val="en-US"/>
        </w:rPr>
        <w:t>Jurnal DIVERSITA</w:t>
      </w:r>
      <w:r w:rsidRPr="00034961">
        <w:rPr>
          <w:lang w:val="en-US"/>
        </w:rPr>
        <w:t>, 2 (2), 1–11.</w:t>
      </w:r>
    </w:p>
    <w:p w14:paraId="0F876CAE" w14:textId="77777777" w:rsidR="00E90816" w:rsidRPr="00034961" w:rsidRDefault="00E90816" w:rsidP="00E90816">
      <w:pPr>
        <w:pStyle w:val="9xxReferences"/>
        <w:rPr>
          <w:lang w:val="en-US"/>
        </w:rPr>
      </w:pPr>
      <w:r w:rsidRPr="00034961">
        <w:rPr>
          <w:lang w:val="en-US"/>
        </w:rPr>
        <w:t xml:space="preserve">Widyastuti, R. J. &amp; Pratiwi (2013) Pengaruh Self Efficacy dan Dukungan Sosial Keluarga Terhadap Kemantapan Pengambilan Keputusan Karir Siswa. </w:t>
      </w:r>
      <w:r w:rsidRPr="00034961">
        <w:rPr>
          <w:i/>
          <w:iCs/>
          <w:lang w:val="en-US"/>
        </w:rPr>
        <w:t xml:space="preserve">Jurnal BK UNESA. </w:t>
      </w:r>
      <w:r w:rsidRPr="00034961">
        <w:rPr>
          <w:lang w:val="en-US"/>
        </w:rPr>
        <w:t xml:space="preserve">Vol. 03 No. 01 </w:t>
      </w:r>
    </w:p>
    <w:p w14:paraId="5961199D" w14:textId="77777777" w:rsidR="00E90816" w:rsidRDefault="00E90816" w:rsidP="00E90816">
      <w:pPr>
        <w:pStyle w:val="9xxReferences"/>
        <w:rPr>
          <w:lang w:val="en-US"/>
        </w:rPr>
      </w:pPr>
      <w:r w:rsidRPr="00034961">
        <w:rPr>
          <w:lang w:val="en-US"/>
        </w:rPr>
        <w:t xml:space="preserve">Yanti, M. T., Kuntarto, E., &amp; Kurniawan, A. R. (2020). Pemanfaatan Portal Rumah Belajar Kemendikbud Sebagai Model Pembelajaran Daring Di Sekolah Dasar. </w:t>
      </w:r>
      <w:r w:rsidRPr="00034961">
        <w:rPr>
          <w:i/>
          <w:iCs/>
          <w:lang w:val="en-US"/>
        </w:rPr>
        <w:t>Adi Widya Jurnal Pendidikan Dasar,</w:t>
      </w:r>
      <w:r w:rsidRPr="00034961">
        <w:rPr>
          <w:lang w:val="en-US"/>
        </w:rPr>
        <w:t xml:space="preserve"> 10(1), 61–6</w:t>
      </w:r>
    </w:p>
    <w:p w14:paraId="084B35A1" w14:textId="4E8A082B" w:rsidR="00E90816" w:rsidRPr="000548BF" w:rsidRDefault="00E90816" w:rsidP="00E90816">
      <w:pPr>
        <w:ind w:left="709" w:hanging="709"/>
        <w:jc w:val="both"/>
      </w:pPr>
      <w:r w:rsidRPr="009964D6">
        <w:fldChar w:fldCharType="end"/>
      </w:r>
      <w:r w:rsidRPr="00E90816">
        <w:t xml:space="preserve"> </w:t>
      </w:r>
      <w:r w:rsidRPr="000548BF">
        <w:t xml:space="preserve">Yazzie-Mintz, E., &amp; McCormick, K. (2012). </w:t>
      </w:r>
      <w:proofErr w:type="spellStart"/>
      <w:r w:rsidRPr="000548BF">
        <w:t>Fiding</w:t>
      </w:r>
      <w:proofErr w:type="spellEnd"/>
      <w:r w:rsidRPr="000548BF">
        <w:t xml:space="preserve"> the Humanity in the Data: Understanding, Measuring, and Strengthening Student Engagement. Handbook of Research on Student Engagement, 743-761.</w:t>
      </w:r>
    </w:p>
    <w:p w14:paraId="48551364" w14:textId="77777777" w:rsidR="00E90816" w:rsidRDefault="00E90816" w:rsidP="00E90816">
      <w:pPr>
        <w:ind w:left="709" w:hanging="709"/>
        <w:jc w:val="both"/>
      </w:pPr>
      <w:proofErr w:type="spellStart"/>
      <w:r w:rsidRPr="000548BF">
        <w:t>Yuniawati</w:t>
      </w:r>
      <w:proofErr w:type="spellEnd"/>
      <w:r w:rsidRPr="000548BF">
        <w:t xml:space="preserve">, Rudy &amp; </w:t>
      </w:r>
      <w:proofErr w:type="spellStart"/>
      <w:r w:rsidRPr="000548BF">
        <w:t>Ismiradewi</w:t>
      </w:r>
      <w:proofErr w:type="spellEnd"/>
      <w:r w:rsidRPr="000548BF">
        <w:t xml:space="preserve"> (2018) The Relationship between Student Engagement and School Well-Being. </w:t>
      </w:r>
      <w:proofErr w:type="spellStart"/>
      <w:r w:rsidRPr="009B6BCE">
        <w:rPr>
          <w:i/>
          <w:iCs/>
        </w:rPr>
        <w:t>Psikopedagogia</w:t>
      </w:r>
      <w:proofErr w:type="spellEnd"/>
      <w:r w:rsidRPr="009B6BCE">
        <w:rPr>
          <w:i/>
          <w:iCs/>
        </w:rPr>
        <w:t xml:space="preserve"> Jurnal Bimbingan dan Konseling </w:t>
      </w:r>
      <w:r w:rsidRPr="000548BF">
        <w:t>Vol.7 No.1</w:t>
      </w:r>
    </w:p>
    <w:p w14:paraId="02D5BC1F" w14:textId="77777777" w:rsidR="00E90816" w:rsidRPr="0069718E" w:rsidRDefault="00E90816" w:rsidP="00E90816">
      <w:pPr>
        <w:pStyle w:val="9xxReferences"/>
        <w:ind w:left="0" w:firstLine="0"/>
      </w:pPr>
    </w:p>
    <w:p w14:paraId="22D65D50" w14:textId="5C9EAE1A" w:rsidR="001940C7" w:rsidRPr="0069718E" w:rsidRDefault="001940C7" w:rsidP="00E90816">
      <w:pPr>
        <w:pStyle w:val="9xxReferences"/>
        <w:ind w:left="0" w:firstLine="0"/>
      </w:pPr>
    </w:p>
    <w:sectPr w:rsidR="001940C7" w:rsidRPr="0069718E" w:rsidSect="004973E0">
      <w:headerReference w:type="even" r:id="rId10"/>
      <w:headerReference w:type="default" r:id="rId11"/>
      <w:footerReference w:type="even" r:id="rId12"/>
      <w:footerReference w:type="default" r:id="rId13"/>
      <w:footerReference w:type="first" r:id="rId14"/>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3DCA" w14:textId="77777777" w:rsidR="004642A7" w:rsidRDefault="004642A7" w:rsidP="00700A34">
      <w:r>
        <w:rPr>
          <w:lang w:val="en"/>
        </w:rPr>
        <w:separator/>
      </w:r>
    </w:p>
  </w:endnote>
  <w:endnote w:type="continuationSeparator" w:id="0">
    <w:p w14:paraId="3DDF3BD8" w14:textId="77777777" w:rsidR="004642A7" w:rsidRDefault="004642A7" w:rsidP="00700A34">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0379132"/>
      <w:docPartObj>
        <w:docPartGallery w:val="Page Numbers (Bottom of Page)"/>
        <w:docPartUnique/>
      </w:docPartObj>
    </w:sdtPr>
    <w:sdtEndPr/>
    <w:sdtContent>
      <w:p w14:paraId="4E0E6D03" w14:textId="6175EDD7" w:rsidR="00137086" w:rsidRPr="00AA0FA8" w:rsidRDefault="004B1289" w:rsidP="006852E9">
        <w:pPr>
          <w:pStyle w:val="Footer"/>
          <w:tabs>
            <w:tab w:val="clear" w:pos="4680"/>
            <w:tab w:val="clear" w:pos="9360"/>
            <w:tab w:val="left" w:pos="0"/>
            <w:tab w:val="right" w:pos="9072"/>
          </w:tabs>
          <w:ind w:firstLine="0"/>
          <w:rPr>
            <w:sz w:val="22"/>
            <w:szCs w:val="22"/>
          </w:rPr>
        </w:pPr>
        <w:r w:rsidRPr="00FF7B1A">
          <w:rPr>
            <w:sz w:val="24"/>
            <w:szCs w:val="24"/>
            <w:lang w:val="en"/>
          </w:rPr>
          <w:fldChar w:fldCharType="begin"/>
        </w:r>
        <w:r w:rsidR="00137086" w:rsidRPr="00FF7B1A">
          <w:rPr>
            <w:sz w:val="24"/>
            <w:szCs w:val="24"/>
            <w:lang w:val="en"/>
          </w:rPr>
          <w:instrText xml:space="preserve"> PAGE   \* MERGEFORMAT </w:instrText>
        </w:r>
        <w:r w:rsidRPr="00FF7B1A">
          <w:rPr>
            <w:sz w:val="24"/>
            <w:szCs w:val="24"/>
            <w:lang w:val="en"/>
          </w:rPr>
          <w:fldChar w:fldCharType="separate"/>
        </w:r>
        <w:r w:rsidR="00AC4A18">
          <w:rPr>
            <w:noProof/>
            <w:sz w:val="24"/>
            <w:szCs w:val="24"/>
            <w:lang w:val="en"/>
          </w:rPr>
          <w:t>2</w:t>
        </w:r>
        <w:r w:rsidRPr="00FF7B1A">
          <w:rPr>
            <w:sz w:val="24"/>
            <w:szCs w:val="24"/>
            <w:lang w:val="en"/>
          </w:rPr>
          <w:fldChar w:fldCharType="end"/>
        </w:r>
        <w:r w:rsidR="00C1174F">
          <w:rPr>
            <w:sz w:val="22"/>
            <w:szCs w:val="22"/>
            <w:lang w:val="en"/>
          </w:rPr>
          <w:t>|</w:t>
        </w:r>
        <w:r w:rsidR="006852E9">
          <w:rPr>
            <w:sz w:val="22"/>
            <w:szCs w:val="22"/>
            <w:lang w:val="en"/>
          </w:rPr>
          <w:tab/>
        </w:r>
        <w:fldSimple w:instr=" STYLEREF  &quot;01. Nama Jurnal - Journal Name&quot;  \* MERGEFORMAT ">
          <w:r w:rsidR="0097233B" w:rsidRPr="0097233B">
            <w:rPr>
              <w:b/>
              <w:bCs/>
              <w:noProof/>
              <w:lang w:val="en"/>
            </w:rPr>
            <w:t>Educational</w:t>
          </w:r>
          <w:r w:rsidR="0097233B" w:rsidRPr="0097233B">
            <w:rPr>
              <w:bCs/>
              <w:noProof/>
              <w:lang w:val="en"/>
            </w:rPr>
            <w:t xml:space="preserve"> Guidance and Counseling </w:t>
          </w:r>
          <w:r w:rsidR="0097233B" w:rsidRPr="0097233B">
            <w:rPr>
              <w:noProof/>
              <w:lang w:val="en"/>
            </w:rPr>
            <w:t>Development Journal</w:t>
          </w:r>
        </w:fldSimple>
        <w:r w:rsidR="00137086" w:rsidRPr="00FF7B1A">
          <w:rPr>
            <w:lang w:val="en"/>
          </w:rPr>
          <w:t xml:space="preserve">, </w:t>
        </w:r>
        <w:fldSimple w:instr=" STYLEREF  &quot;03. Volume&quot;  \* MERGEFORMAT ">
          <w:r w:rsidR="0097233B" w:rsidRPr="0097233B">
            <w:rPr>
              <w:noProof/>
              <w:lang w:val="en"/>
            </w:rPr>
            <w:t>Vol. 1, No. 1, April2018, xxx – xxx</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79133"/>
      <w:docPartObj>
        <w:docPartGallery w:val="Page Numbers (Bottom of Page)"/>
        <w:docPartUnique/>
      </w:docPartObj>
    </w:sdtPr>
    <w:sdtEndPr/>
    <w:sdtContent>
      <w:p w14:paraId="2A30D79C" w14:textId="4342350C" w:rsidR="00137086" w:rsidRPr="00AA0FA8" w:rsidRDefault="005A3AE8"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97233B" w:rsidRPr="0097233B">
            <w:rPr>
              <w:b/>
              <w:bCs/>
              <w:noProof/>
              <w:lang w:val="en"/>
            </w:rPr>
            <w:t>Educational</w:t>
          </w:r>
          <w:r w:rsidR="0097233B" w:rsidRPr="0097233B">
            <w:rPr>
              <w:bCs/>
              <w:noProof/>
              <w:lang w:val="en"/>
            </w:rPr>
            <w:t xml:space="preserve"> Guidance and Counseling </w:t>
          </w:r>
          <w:r w:rsidR="0097233B" w:rsidRPr="0097233B">
            <w:rPr>
              <w:noProof/>
              <w:lang w:val="en"/>
            </w:rPr>
            <w:t>Development Journal</w:t>
          </w:r>
        </w:fldSimple>
        <w:r w:rsidR="00137086" w:rsidRPr="00FF7B1A">
          <w:rPr>
            <w:lang w:val="en"/>
          </w:rPr>
          <w:t xml:space="preserve">, </w:t>
        </w:r>
        <w:fldSimple w:instr=" STYLEREF  &quot;03. Volume&quot;  \* MERGEFORMAT ">
          <w:r w:rsidR="0097233B" w:rsidRPr="0097233B">
            <w:rPr>
              <w:noProof/>
              <w:lang w:val="en"/>
            </w:rPr>
            <w:t>Vol. 1, No. 1, April2018, xxx – xxx</w:t>
          </w:r>
        </w:fldSimple>
        <w:r w:rsidR="006852E9">
          <w:rPr>
            <w:sz w:val="22"/>
            <w:szCs w:val="22"/>
            <w:lang w:val="en"/>
          </w:rPr>
          <w:tab/>
        </w:r>
        <w:r w:rsidR="00C1174F">
          <w:rPr>
            <w:sz w:val="22"/>
            <w:szCs w:val="22"/>
            <w:lang w:val="en"/>
          </w:rPr>
          <w:t>|</w:t>
        </w:r>
        <w:r w:rsidR="004B1289" w:rsidRPr="00FF7B1A">
          <w:rPr>
            <w:sz w:val="24"/>
            <w:szCs w:val="24"/>
            <w:lang w:val="en"/>
          </w:rPr>
          <w:fldChar w:fldCharType="begin"/>
        </w:r>
        <w:r w:rsidR="00137086" w:rsidRPr="00FF7B1A">
          <w:rPr>
            <w:sz w:val="24"/>
            <w:szCs w:val="24"/>
            <w:lang w:val="en"/>
          </w:rPr>
          <w:instrText xml:space="preserve"> PAGE   \* MERGEFORMAT </w:instrText>
        </w:r>
        <w:r w:rsidR="004B1289" w:rsidRPr="00FF7B1A">
          <w:rPr>
            <w:sz w:val="24"/>
            <w:szCs w:val="24"/>
            <w:lang w:val="en"/>
          </w:rPr>
          <w:fldChar w:fldCharType="separate"/>
        </w:r>
        <w:r w:rsidR="00AC4A18">
          <w:rPr>
            <w:noProof/>
            <w:sz w:val="24"/>
            <w:szCs w:val="24"/>
            <w:lang w:val="en"/>
          </w:rPr>
          <w:t>5</w:t>
        </w:r>
        <w:r w:rsidR="004B1289" w:rsidRPr="00FF7B1A">
          <w:rPr>
            <w:sz w:val="24"/>
            <w:szCs w:val="24"/>
            <w:lang w:val="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823"/>
      <w:docPartObj>
        <w:docPartGallery w:val="Page Numbers (Bottom of Page)"/>
        <w:docPartUnique/>
      </w:docPartObj>
    </w:sdtPr>
    <w:sdtEndPr/>
    <w:sdtContent>
      <w:p w14:paraId="6E3048D2" w14:textId="334A93B6" w:rsidR="006852E9" w:rsidRPr="00AA0FA8" w:rsidRDefault="005A3AE8"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CF4B7A" w:rsidRPr="00CF4B7A">
            <w:rPr>
              <w:b/>
              <w:bCs/>
              <w:noProof/>
              <w:lang w:val="en"/>
            </w:rPr>
            <w:t>Educational</w:t>
          </w:r>
          <w:r w:rsidR="00CF4B7A" w:rsidRPr="00CF4B7A">
            <w:rPr>
              <w:bCs/>
              <w:noProof/>
              <w:lang w:val="en"/>
            </w:rPr>
            <w:t xml:space="preserve"> Guidance and Counseling </w:t>
          </w:r>
          <w:r w:rsidR="00CF4B7A" w:rsidRPr="00CF4B7A">
            <w:rPr>
              <w:noProof/>
              <w:lang w:val="en"/>
            </w:rPr>
            <w:t>Development Journal</w:t>
          </w:r>
        </w:fldSimple>
        <w:r w:rsidR="006852E9" w:rsidRPr="00FF7B1A">
          <w:rPr>
            <w:lang w:val="en"/>
          </w:rPr>
          <w:t xml:space="preserve">, </w:t>
        </w:r>
        <w:fldSimple w:instr=" STYLEREF  &quot;03. Volume&quot;  \* MERGEFORMAT ">
          <w:r w:rsidR="00CF4B7A" w:rsidRPr="00CF4B7A">
            <w:rPr>
              <w:noProof/>
              <w:lang w:val="en"/>
            </w:rPr>
            <w:t>Vol. 1, No. 1, April2018, xxx – xxx</w:t>
          </w:r>
        </w:fldSimple>
        <w:r w:rsidR="006852E9">
          <w:rPr>
            <w:sz w:val="22"/>
            <w:szCs w:val="22"/>
            <w:lang w:val="en"/>
          </w:rPr>
          <w:tab/>
          <w:t>|</w:t>
        </w:r>
        <w:r w:rsidR="004B1289" w:rsidRPr="00FF7B1A">
          <w:rPr>
            <w:sz w:val="24"/>
            <w:szCs w:val="24"/>
            <w:lang w:val="en"/>
          </w:rPr>
          <w:fldChar w:fldCharType="begin"/>
        </w:r>
        <w:r w:rsidR="006852E9" w:rsidRPr="00FF7B1A">
          <w:rPr>
            <w:sz w:val="24"/>
            <w:szCs w:val="24"/>
            <w:lang w:val="en"/>
          </w:rPr>
          <w:instrText xml:space="preserve"> PAGE   \* MERGEFORMAT </w:instrText>
        </w:r>
        <w:r w:rsidR="004B1289" w:rsidRPr="00FF7B1A">
          <w:rPr>
            <w:sz w:val="24"/>
            <w:szCs w:val="24"/>
            <w:lang w:val="en"/>
          </w:rPr>
          <w:fldChar w:fldCharType="separate"/>
        </w:r>
        <w:r w:rsidR="00AC4A18">
          <w:rPr>
            <w:noProof/>
            <w:sz w:val="24"/>
            <w:szCs w:val="24"/>
            <w:lang w:val="en"/>
          </w:rPr>
          <w:t>1</w:t>
        </w:r>
        <w:r w:rsidR="004B1289" w:rsidRPr="00FF7B1A">
          <w:rPr>
            <w:sz w:val="24"/>
            <w:szCs w:val="24"/>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2AB4" w14:textId="77777777" w:rsidR="004642A7" w:rsidRDefault="004642A7" w:rsidP="00700A34">
      <w:r>
        <w:rPr>
          <w:lang w:val="en"/>
        </w:rPr>
        <w:separator/>
      </w:r>
    </w:p>
  </w:footnote>
  <w:footnote w:type="continuationSeparator" w:id="0">
    <w:p w14:paraId="67D275AB" w14:textId="77777777" w:rsidR="004642A7" w:rsidRDefault="004642A7" w:rsidP="00700A34">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8808" w14:textId="4BCBE873" w:rsidR="00137086" w:rsidRPr="00AD4D4B" w:rsidRDefault="005A3AE8" w:rsidP="008F363A">
    <w:pPr>
      <w:pStyle w:val="HeaderKiri"/>
    </w:pPr>
    <w:fldSimple w:instr=" STYLEREF  &quot;2. Penulis - Author&quot;  \* MERGEFORMAT ">
      <w:r w:rsidR="0097233B" w:rsidRPr="0097233B">
        <w:rPr>
          <w:lang w:val="en"/>
        </w:rPr>
        <w:t>Ari Gusmawan¹, Sigit Hariyadi²</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36DA" w14:textId="4238BCEE" w:rsidR="00137086" w:rsidRDefault="005A3AE8" w:rsidP="008F363A">
    <w:pPr>
      <w:pStyle w:val="Headerkanan"/>
    </w:pPr>
    <w:fldSimple w:instr=" STYLEREF  &quot;1. Judul - Title&quot;  \* MERGEFORMAT ">
      <w:r w:rsidR="0097233B" w:rsidRPr="0097233B">
        <w:rPr>
          <w:lang w:val="en"/>
        </w:rPr>
        <w:t>The Effect of Family Social Support on Student Engagement in Online Learning</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15:restartNumberingAfterBreak="0">
    <w:nsid w:val="6B7825E6"/>
    <w:multiLevelType w:val="hybridMultilevel"/>
    <w:tmpl w:val="3C666D68"/>
    <w:lvl w:ilvl="0" w:tplc="D34A585A">
      <w:start w:val="1"/>
      <w:numFmt w:val="bullet"/>
      <w:pStyle w:val="DaftarParagraf"/>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0NLM0NjU1MjAwNDZV0lEKTi0uzszPAykwrAUAq30zviwAAAA="/>
  </w:docVars>
  <w:rsids>
    <w:rsidRoot w:val="00700A34"/>
    <w:rsid w:val="00000EBE"/>
    <w:rsid w:val="0000532F"/>
    <w:rsid w:val="00006AFE"/>
    <w:rsid w:val="00023E91"/>
    <w:rsid w:val="0003059C"/>
    <w:rsid w:val="0003186E"/>
    <w:rsid w:val="000320C2"/>
    <w:rsid w:val="000323C9"/>
    <w:rsid w:val="000343E5"/>
    <w:rsid w:val="00034961"/>
    <w:rsid w:val="0003599A"/>
    <w:rsid w:val="00035CB2"/>
    <w:rsid w:val="00037408"/>
    <w:rsid w:val="00037FA6"/>
    <w:rsid w:val="000411EE"/>
    <w:rsid w:val="00042281"/>
    <w:rsid w:val="00042E0E"/>
    <w:rsid w:val="00047629"/>
    <w:rsid w:val="00047730"/>
    <w:rsid w:val="0005493C"/>
    <w:rsid w:val="00057647"/>
    <w:rsid w:val="000608D3"/>
    <w:rsid w:val="000615E6"/>
    <w:rsid w:val="000635F2"/>
    <w:rsid w:val="00064A1D"/>
    <w:rsid w:val="00070D21"/>
    <w:rsid w:val="00075715"/>
    <w:rsid w:val="0007716B"/>
    <w:rsid w:val="00080DA1"/>
    <w:rsid w:val="00081BFC"/>
    <w:rsid w:val="00090303"/>
    <w:rsid w:val="000A19C8"/>
    <w:rsid w:val="000A3C6A"/>
    <w:rsid w:val="000B06FE"/>
    <w:rsid w:val="000B0E23"/>
    <w:rsid w:val="000B1B45"/>
    <w:rsid w:val="000B45DB"/>
    <w:rsid w:val="000C180E"/>
    <w:rsid w:val="000C395F"/>
    <w:rsid w:val="000D00AA"/>
    <w:rsid w:val="000D53B7"/>
    <w:rsid w:val="000E0739"/>
    <w:rsid w:val="000E5A94"/>
    <w:rsid w:val="000F5271"/>
    <w:rsid w:val="000F7BB4"/>
    <w:rsid w:val="001011B7"/>
    <w:rsid w:val="00106AC0"/>
    <w:rsid w:val="00113B14"/>
    <w:rsid w:val="00114ED9"/>
    <w:rsid w:val="001154C7"/>
    <w:rsid w:val="00121DC6"/>
    <w:rsid w:val="00122BB0"/>
    <w:rsid w:val="001238FB"/>
    <w:rsid w:val="00123F3A"/>
    <w:rsid w:val="001245A4"/>
    <w:rsid w:val="001312E5"/>
    <w:rsid w:val="001333B0"/>
    <w:rsid w:val="00136F57"/>
    <w:rsid w:val="00137086"/>
    <w:rsid w:val="00137746"/>
    <w:rsid w:val="0014024C"/>
    <w:rsid w:val="00146FBE"/>
    <w:rsid w:val="00147592"/>
    <w:rsid w:val="00151317"/>
    <w:rsid w:val="00152E0D"/>
    <w:rsid w:val="001545A0"/>
    <w:rsid w:val="0015606C"/>
    <w:rsid w:val="001578BA"/>
    <w:rsid w:val="00161011"/>
    <w:rsid w:val="0017087F"/>
    <w:rsid w:val="00172E34"/>
    <w:rsid w:val="0017599F"/>
    <w:rsid w:val="001834F5"/>
    <w:rsid w:val="0018542D"/>
    <w:rsid w:val="00193BF1"/>
    <w:rsid w:val="001940C7"/>
    <w:rsid w:val="001955BE"/>
    <w:rsid w:val="001A36AF"/>
    <w:rsid w:val="001A443E"/>
    <w:rsid w:val="001B3ED2"/>
    <w:rsid w:val="001B4C3A"/>
    <w:rsid w:val="001B5114"/>
    <w:rsid w:val="001B52AB"/>
    <w:rsid w:val="001C167B"/>
    <w:rsid w:val="001C2016"/>
    <w:rsid w:val="001D379A"/>
    <w:rsid w:val="001D3C2D"/>
    <w:rsid w:val="001D6112"/>
    <w:rsid w:val="001E0A24"/>
    <w:rsid w:val="001E1058"/>
    <w:rsid w:val="001E59FA"/>
    <w:rsid w:val="001E5B70"/>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507D5"/>
    <w:rsid w:val="00252391"/>
    <w:rsid w:val="0025654D"/>
    <w:rsid w:val="0025659D"/>
    <w:rsid w:val="00257BA8"/>
    <w:rsid w:val="00257D13"/>
    <w:rsid w:val="0027089B"/>
    <w:rsid w:val="00271562"/>
    <w:rsid w:val="00272B95"/>
    <w:rsid w:val="002863BA"/>
    <w:rsid w:val="00287643"/>
    <w:rsid w:val="002914B5"/>
    <w:rsid w:val="00292AA7"/>
    <w:rsid w:val="00294A62"/>
    <w:rsid w:val="00294B69"/>
    <w:rsid w:val="002957A4"/>
    <w:rsid w:val="00297064"/>
    <w:rsid w:val="00297565"/>
    <w:rsid w:val="002A0774"/>
    <w:rsid w:val="002A75EE"/>
    <w:rsid w:val="002B1366"/>
    <w:rsid w:val="002B174A"/>
    <w:rsid w:val="002B248B"/>
    <w:rsid w:val="002B28E9"/>
    <w:rsid w:val="002B73CA"/>
    <w:rsid w:val="002B7B6A"/>
    <w:rsid w:val="002D0F8E"/>
    <w:rsid w:val="002D1910"/>
    <w:rsid w:val="002D231B"/>
    <w:rsid w:val="002D403B"/>
    <w:rsid w:val="002D45CE"/>
    <w:rsid w:val="002D5001"/>
    <w:rsid w:val="002E24A6"/>
    <w:rsid w:val="002E2F2C"/>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72C8"/>
    <w:rsid w:val="00340E6A"/>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32F9"/>
    <w:rsid w:val="00384BBC"/>
    <w:rsid w:val="00386B54"/>
    <w:rsid w:val="00387AFB"/>
    <w:rsid w:val="00391967"/>
    <w:rsid w:val="0039209F"/>
    <w:rsid w:val="003950A9"/>
    <w:rsid w:val="003960F2"/>
    <w:rsid w:val="003970A3"/>
    <w:rsid w:val="003972FC"/>
    <w:rsid w:val="00397EAE"/>
    <w:rsid w:val="003A37A9"/>
    <w:rsid w:val="003A463D"/>
    <w:rsid w:val="003A59B8"/>
    <w:rsid w:val="003A69DD"/>
    <w:rsid w:val="003B1B40"/>
    <w:rsid w:val="003B3223"/>
    <w:rsid w:val="003B5E8B"/>
    <w:rsid w:val="003C16A5"/>
    <w:rsid w:val="003C60BC"/>
    <w:rsid w:val="003D050F"/>
    <w:rsid w:val="003D109B"/>
    <w:rsid w:val="003D6C2B"/>
    <w:rsid w:val="003E128C"/>
    <w:rsid w:val="003E350B"/>
    <w:rsid w:val="003E677C"/>
    <w:rsid w:val="003F3DAB"/>
    <w:rsid w:val="003F40B6"/>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42A7"/>
    <w:rsid w:val="004652B1"/>
    <w:rsid w:val="00466590"/>
    <w:rsid w:val="004745AD"/>
    <w:rsid w:val="004776D7"/>
    <w:rsid w:val="00481E87"/>
    <w:rsid w:val="004844D5"/>
    <w:rsid w:val="0048534A"/>
    <w:rsid w:val="00491FAE"/>
    <w:rsid w:val="00493EF9"/>
    <w:rsid w:val="004973E0"/>
    <w:rsid w:val="004A0E13"/>
    <w:rsid w:val="004A104D"/>
    <w:rsid w:val="004A4680"/>
    <w:rsid w:val="004A4EA3"/>
    <w:rsid w:val="004A704B"/>
    <w:rsid w:val="004B01D7"/>
    <w:rsid w:val="004B1289"/>
    <w:rsid w:val="004B693E"/>
    <w:rsid w:val="004C1CE7"/>
    <w:rsid w:val="004C47A8"/>
    <w:rsid w:val="004C4B57"/>
    <w:rsid w:val="004C52AE"/>
    <w:rsid w:val="004C5BED"/>
    <w:rsid w:val="004C60BF"/>
    <w:rsid w:val="004C6159"/>
    <w:rsid w:val="004C7A23"/>
    <w:rsid w:val="004D0A2D"/>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50644"/>
    <w:rsid w:val="00554262"/>
    <w:rsid w:val="00560DC7"/>
    <w:rsid w:val="00564545"/>
    <w:rsid w:val="00571E33"/>
    <w:rsid w:val="0057361D"/>
    <w:rsid w:val="00576D1F"/>
    <w:rsid w:val="00580685"/>
    <w:rsid w:val="0058618E"/>
    <w:rsid w:val="005863F8"/>
    <w:rsid w:val="00590597"/>
    <w:rsid w:val="00592065"/>
    <w:rsid w:val="0059491E"/>
    <w:rsid w:val="005A09A5"/>
    <w:rsid w:val="005A0DC8"/>
    <w:rsid w:val="005A2FF5"/>
    <w:rsid w:val="005A3AE8"/>
    <w:rsid w:val="005A3BE4"/>
    <w:rsid w:val="005A7CAA"/>
    <w:rsid w:val="005A7EED"/>
    <w:rsid w:val="005B099F"/>
    <w:rsid w:val="005B2A24"/>
    <w:rsid w:val="005B3688"/>
    <w:rsid w:val="005B44AA"/>
    <w:rsid w:val="005B7C01"/>
    <w:rsid w:val="005C0FCC"/>
    <w:rsid w:val="005C4BBC"/>
    <w:rsid w:val="005C5BCB"/>
    <w:rsid w:val="005C6C73"/>
    <w:rsid w:val="005D2CFA"/>
    <w:rsid w:val="005D3F36"/>
    <w:rsid w:val="005E112A"/>
    <w:rsid w:val="005E2640"/>
    <w:rsid w:val="005E337A"/>
    <w:rsid w:val="005E39BF"/>
    <w:rsid w:val="005E740B"/>
    <w:rsid w:val="005F1FD8"/>
    <w:rsid w:val="005F5060"/>
    <w:rsid w:val="005F58DB"/>
    <w:rsid w:val="005F5C3C"/>
    <w:rsid w:val="005F7C4B"/>
    <w:rsid w:val="006063AA"/>
    <w:rsid w:val="006100CB"/>
    <w:rsid w:val="006105AF"/>
    <w:rsid w:val="0061155E"/>
    <w:rsid w:val="00612E5E"/>
    <w:rsid w:val="006140A3"/>
    <w:rsid w:val="00615FB4"/>
    <w:rsid w:val="00616B06"/>
    <w:rsid w:val="006173D2"/>
    <w:rsid w:val="006208AA"/>
    <w:rsid w:val="00620EF7"/>
    <w:rsid w:val="00627207"/>
    <w:rsid w:val="00630B81"/>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660F"/>
    <w:rsid w:val="006B1072"/>
    <w:rsid w:val="006C60AD"/>
    <w:rsid w:val="006D340F"/>
    <w:rsid w:val="006D6E28"/>
    <w:rsid w:val="006E0846"/>
    <w:rsid w:val="006E1635"/>
    <w:rsid w:val="006E3266"/>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06711"/>
    <w:rsid w:val="007118D0"/>
    <w:rsid w:val="00712B7E"/>
    <w:rsid w:val="00714DD0"/>
    <w:rsid w:val="00715935"/>
    <w:rsid w:val="00724F26"/>
    <w:rsid w:val="007305D6"/>
    <w:rsid w:val="007333F6"/>
    <w:rsid w:val="00733430"/>
    <w:rsid w:val="007407D1"/>
    <w:rsid w:val="007408DA"/>
    <w:rsid w:val="00744BD5"/>
    <w:rsid w:val="00750321"/>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5316"/>
    <w:rsid w:val="00787758"/>
    <w:rsid w:val="00790B4E"/>
    <w:rsid w:val="00792B70"/>
    <w:rsid w:val="007A00A7"/>
    <w:rsid w:val="007A23E8"/>
    <w:rsid w:val="007A50C9"/>
    <w:rsid w:val="007A5730"/>
    <w:rsid w:val="007A6C00"/>
    <w:rsid w:val="007A7395"/>
    <w:rsid w:val="007B2D61"/>
    <w:rsid w:val="007B47CC"/>
    <w:rsid w:val="007B4F15"/>
    <w:rsid w:val="007B5DDC"/>
    <w:rsid w:val="007B616B"/>
    <w:rsid w:val="007B6F54"/>
    <w:rsid w:val="007B7E97"/>
    <w:rsid w:val="007C2996"/>
    <w:rsid w:val="007D1863"/>
    <w:rsid w:val="007D69E4"/>
    <w:rsid w:val="007E0850"/>
    <w:rsid w:val="007E0878"/>
    <w:rsid w:val="007E0CBC"/>
    <w:rsid w:val="007E11D7"/>
    <w:rsid w:val="007E1BBE"/>
    <w:rsid w:val="007E5DE9"/>
    <w:rsid w:val="007E5EF8"/>
    <w:rsid w:val="007E7146"/>
    <w:rsid w:val="007F1917"/>
    <w:rsid w:val="007F4B72"/>
    <w:rsid w:val="007F4D0D"/>
    <w:rsid w:val="007F7560"/>
    <w:rsid w:val="008026DF"/>
    <w:rsid w:val="008050A5"/>
    <w:rsid w:val="0081003F"/>
    <w:rsid w:val="00810E41"/>
    <w:rsid w:val="0081162D"/>
    <w:rsid w:val="00813B63"/>
    <w:rsid w:val="00816659"/>
    <w:rsid w:val="008175AB"/>
    <w:rsid w:val="00820B75"/>
    <w:rsid w:val="00821D11"/>
    <w:rsid w:val="00822909"/>
    <w:rsid w:val="00823F9B"/>
    <w:rsid w:val="00824ACC"/>
    <w:rsid w:val="00826F48"/>
    <w:rsid w:val="00827180"/>
    <w:rsid w:val="008329CC"/>
    <w:rsid w:val="0083301F"/>
    <w:rsid w:val="0083451F"/>
    <w:rsid w:val="00834D12"/>
    <w:rsid w:val="008353D4"/>
    <w:rsid w:val="00835D8F"/>
    <w:rsid w:val="00843BF0"/>
    <w:rsid w:val="00845EB5"/>
    <w:rsid w:val="00850BC1"/>
    <w:rsid w:val="00851B51"/>
    <w:rsid w:val="008536A6"/>
    <w:rsid w:val="00854EBF"/>
    <w:rsid w:val="0085725C"/>
    <w:rsid w:val="008576B2"/>
    <w:rsid w:val="008615B9"/>
    <w:rsid w:val="00862A84"/>
    <w:rsid w:val="008638B4"/>
    <w:rsid w:val="00864E93"/>
    <w:rsid w:val="008657BA"/>
    <w:rsid w:val="00870DE4"/>
    <w:rsid w:val="0087102A"/>
    <w:rsid w:val="00874F4E"/>
    <w:rsid w:val="00876D2C"/>
    <w:rsid w:val="008778A5"/>
    <w:rsid w:val="00882511"/>
    <w:rsid w:val="008866B3"/>
    <w:rsid w:val="00887760"/>
    <w:rsid w:val="00890C24"/>
    <w:rsid w:val="00891788"/>
    <w:rsid w:val="00891F6A"/>
    <w:rsid w:val="00892346"/>
    <w:rsid w:val="00893928"/>
    <w:rsid w:val="008961DD"/>
    <w:rsid w:val="008A0B0E"/>
    <w:rsid w:val="008A0EBE"/>
    <w:rsid w:val="008A22E1"/>
    <w:rsid w:val="008A3AF8"/>
    <w:rsid w:val="008B1459"/>
    <w:rsid w:val="008B1485"/>
    <w:rsid w:val="008B1957"/>
    <w:rsid w:val="008B3DF1"/>
    <w:rsid w:val="008B6DB4"/>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14D7B"/>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233B"/>
    <w:rsid w:val="009740C0"/>
    <w:rsid w:val="009745CF"/>
    <w:rsid w:val="00974C95"/>
    <w:rsid w:val="009752B7"/>
    <w:rsid w:val="00977397"/>
    <w:rsid w:val="009855B7"/>
    <w:rsid w:val="00986E9E"/>
    <w:rsid w:val="009917BC"/>
    <w:rsid w:val="0099634E"/>
    <w:rsid w:val="009964D6"/>
    <w:rsid w:val="00997E14"/>
    <w:rsid w:val="009A23F7"/>
    <w:rsid w:val="009A38B4"/>
    <w:rsid w:val="009A5593"/>
    <w:rsid w:val="009B0B65"/>
    <w:rsid w:val="009B0C90"/>
    <w:rsid w:val="009B4E37"/>
    <w:rsid w:val="009B5791"/>
    <w:rsid w:val="009B6BCE"/>
    <w:rsid w:val="009B7B3D"/>
    <w:rsid w:val="009C0A8C"/>
    <w:rsid w:val="009C119F"/>
    <w:rsid w:val="009C2623"/>
    <w:rsid w:val="009C558F"/>
    <w:rsid w:val="009D1361"/>
    <w:rsid w:val="009D2883"/>
    <w:rsid w:val="009E143A"/>
    <w:rsid w:val="009E4E65"/>
    <w:rsid w:val="009E51BB"/>
    <w:rsid w:val="009E6187"/>
    <w:rsid w:val="009E71F7"/>
    <w:rsid w:val="009E769F"/>
    <w:rsid w:val="009F12BD"/>
    <w:rsid w:val="009F28D3"/>
    <w:rsid w:val="00A03C1F"/>
    <w:rsid w:val="00A04FE3"/>
    <w:rsid w:val="00A06076"/>
    <w:rsid w:val="00A06079"/>
    <w:rsid w:val="00A07E98"/>
    <w:rsid w:val="00A16A47"/>
    <w:rsid w:val="00A21EB8"/>
    <w:rsid w:val="00A236CE"/>
    <w:rsid w:val="00A240F2"/>
    <w:rsid w:val="00A253F3"/>
    <w:rsid w:val="00A2732A"/>
    <w:rsid w:val="00A3149C"/>
    <w:rsid w:val="00A315EF"/>
    <w:rsid w:val="00A31929"/>
    <w:rsid w:val="00A33838"/>
    <w:rsid w:val="00A34C96"/>
    <w:rsid w:val="00A355B6"/>
    <w:rsid w:val="00A417E1"/>
    <w:rsid w:val="00A44392"/>
    <w:rsid w:val="00A55B84"/>
    <w:rsid w:val="00A56607"/>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4A18"/>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1AF"/>
    <w:rsid w:val="00B104D1"/>
    <w:rsid w:val="00B1087D"/>
    <w:rsid w:val="00B10FA8"/>
    <w:rsid w:val="00B130AB"/>
    <w:rsid w:val="00B20624"/>
    <w:rsid w:val="00B20E47"/>
    <w:rsid w:val="00B23FC8"/>
    <w:rsid w:val="00B26404"/>
    <w:rsid w:val="00B26C9B"/>
    <w:rsid w:val="00B26DD8"/>
    <w:rsid w:val="00B3257C"/>
    <w:rsid w:val="00B3273F"/>
    <w:rsid w:val="00B35B64"/>
    <w:rsid w:val="00B35F5C"/>
    <w:rsid w:val="00B36FE0"/>
    <w:rsid w:val="00B37667"/>
    <w:rsid w:val="00B37E71"/>
    <w:rsid w:val="00B40B51"/>
    <w:rsid w:val="00B432A5"/>
    <w:rsid w:val="00B43E44"/>
    <w:rsid w:val="00B5093B"/>
    <w:rsid w:val="00B54589"/>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3927"/>
    <w:rsid w:val="00B95B59"/>
    <w:rsid w:val="00BA0A23"/>
    <w:rsid w:val="00BA20DE"/>
    <w:rsid w:val="00BB159C"/>
    <w:rsid w:val="00BB4097"/>
    <w:rsid w:val="00BB7279"/>
    <w:rsid w:val="00BC1415"/>
    <w:rsid w:val="00BC757D"/>
    <w:rsid w:val="00BD19F3"/>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1174F"/>
    <w:rsid w:val="00C1245F"/>
    <w:rsid w:val="00C1337F"/>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74B8"/>
    <w:rsid w:val="00C65621"/>
    <w:rsid w:val="00C7224B"/>
    <w:rsid w:val="00C7610A"/>
    <w:rsid w:val="00C77790"/>
    <w:rsid w:val="00C866DA"/>
    <w:rsid w:val="00C86C70"/>
    <w:rsid w:val="00C92744"/>
    <w:rsid w:val="00C940F0"/>
    <w:rsid w:val="00C96B08"/>
    <w:rsid w:val="00CA0054"/>
    <w:rsid w:val="00CA1AF3"/>
    <w:rsid w:val="00CA29A9"/>
    <w:rsid w:val="00CA2E07"/>
    <w:rsid w:val="00CA2EA6"/>
    <w:rsid w:val="00CA3127"/>
    <w:rsid w:val="00CA6E1B"/>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4B7A"/>
    <w:rsid w:val="00CF7196"/>
    <w:rsid w:val="00D00999"/>
    <w:rsid w:val="00D015DA"/>
    <w:rsid w:val="00D0224B"/>
    <w:rsid w:val="00D02FFC"/>
    <w:rsid w:val="00D04424"/>
    <w:rsid w:val="00D05625"/>
    <w:rsid w:val="00D058C7"/>
    <w:rsid w:val="00D12C8B"/>
    <w:rsid w:val="00D138C4"/>
    <w:rsid w:val="00D208E4"/>
    <w:rsid w:val="00D21BE3"/>
    <w:rsid w:val="00D22F27"/>
    <w:rsid w:val="00D30BF2"/>
    <w:rsid w:val="00D34C78"/>
    <w:rsid w:val="00D45AA5"/>
    <w:rsid w:val="00D47C66"/>
    <w:rsid w:val="00D504EB"/>
    <w:rsid w:val="00D526F9"/>
    <w:rsid w:val="00D53F9E"/>
    <w:rsid w:val="00D556F7"/>
    <w:rsid w:val="00D601B5"/>
    <w:rsid w:val="00D60C3C"/>
    <w:rsid w:val="00D6287C"/>
    <w:rsid w:val="00D65ADB"/>
    <w:rsid w:val="00D66262"/>
    <w:rsid w:val="00D73E21"/>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1907"/>
    <w:rsid w:val="00DB5FF8"/>
    <w:rsid w:val="00DC3286"/>
    <w:rsid w:val="00DC619C"/>
    <w:rsid w:val="00DD10F4"/>
    <w:rsid w:val="00DD21E6"/>
    <w:rsid w:val="00DD348D"/>
    <w:rsid w:val="00DD4116"/>
    <w:rsid w:val="00DD5EB7"/>
    <w:rsid w:val="00DD6851"/>
    <w:rsid w:val="00DD696C"/>
    <w:rsid w:val="00DE7FFE"/>
    <w:rsid w:val="00DF1F7F"/>
    <w:rsid w:val="00DF3717"/>
    <w:rsid w:val="00DF6060"/>
    <w:rsid w:val="00E028C5"/>
    <w:rsid w:val="00E0777F"/>
    <w:rsid w:val="00E1055A"/>
    <w:rsid w:val="00E122C8"/>
    <w:rsid w:val="00E16244"/>
    <w:rsid w:val="00E1693D"/>
    <w:rsid w:val="00E16CFA"/>
    <w:rsid w:val="00E172CC"/>
    <w:rsid w:val="00E217BA"/>
    <w:rsid w:val="00E26930"/>
    <w:rsid w:val="00E27996"/>
    <w:rsid w:val="00E31861"/>
    <w:rsid w:val="00E3310E"/>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651E"/>
    <w:rsid w:val="00E57E14"/>
    <w:rsid w:val="00E61D22"/>
    <w:rsid w:val="00E70626"/>
    <w:rsid w:val="00E7087A"/>
    <w:rsid w:val="00E7385E"/>
    <w:rsid w:val="00E73918"/>
    <w:rsid w:val="00E74B3B"/>
    <w:rsid w:val="00E7554D"/>
    <w:rsid w:val="00E75D64"/>
    <w:rsid w:val="00E76017"/>
    <w:rsid w:val="00E762A6"/>
    <w:rsid w:val="00E8457E"/>
    <w:rsid w:val="00E8529E"/>
    <w:rsid w:val="00E87112"/>
    <w:rsid w:val="00E87792"/>
    <w:rsid w:val="00E90816"/>
    <w:rsid w:val="00E917FD"/>
    <w:rsid w:val="00E93806"/>
    <w:rsid w:val="00E97263"/>
    <w:rsid w:val="00EA024B"/>
    <w:rsid w:val="00EA6F34"/>
    <w:rsid w:val="00EA7C81"/>
    <w:rsid w:val="00EB03FE"/>
    <w:rsid w:val="00EB1775"/>
    <w:rsid w:val="00EB1964"/>
    <w:rsid w:val="00EB3D5A"/>
    <w:rsid w:val="00EC2678"/>
    <w:rsid w:val="00EC3353"/>
    <w:rsid w:val="00EC37C0"/>
    <w:rsid w:val="00EC3D97"/>
    <w:rsid w:val="00EC5999"/>
    <w:rsid w:val="00ED0784"/>
    <w:rsid w:val="00ED27BB"/>
    <w:rsid w:val="00ED5052"/>
    <w:rsid w:val="00ED630D"/>
    <w:rsid w:val="00ED7C8D"/>
    <w:rsid w:val="00EE02F3"/>
    <w:rsid w:val="00EE0F18"/>
    <w:rsid w:val="00EE0FE1"/>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306E4"/>
    <w:rsid w:val="00F340C4"/>
    <w:rsid w:val="00F345EC"/>
    <w:rsid w:val="00F34EAE"/>
    <w:rsid w:val="00F37D5B"/>
    <w:rsid w:val="00F451DC"/>
    <w:rsid w:val="00F45904"/>
    <w:rsid w:val="00F462A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1196"/>
    <w:rsid w:val="00F82568"/>
    <w:rsid w:val="00F8336E"/>
    <w:rsid w:val="00F86181"/>
    <w:rsid w:val="00F86C09"/>
    <w:rsid w:val="00F91BF4"/>
    <w:rsid w:val="00F94A45"/>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669918"/>
  <w15:docId w15:val="{1CE2E2A5-8A8A-41D3-9D23-674C4A47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Judul1">
    <w:name w:val="heading 1"/>
    <w:basedOn w:val="Normal"/>
    <w:next w:val="Normal"/>
    <w:link w:val="Judul1KAR"/>
    <w:uiPriority w:val="9"/>
    <w:qFormat/>
    <w:rsid w:val="005F5C3C"/>
    <w:pPr>
      <w:keepNext/>
      <w:spacing w:before="480" w:after="120"/>
      <w:ind w:firstLine="0"/>
      <w:outlineLvl w:val="0"/>
    </w:pPr>
    <w:rPr>
      <w:b/>
      <w:bCs/>
      <w:caps/>
      <w:kern w:val="32"/>
      <w:szCs w:val="32"/>
    </w:rPr>
  </w:style>
  <w:style w:type="paragraph" w:styleId="Judul2">
    <w:name w:val="heading 2"/>
    <w:basedOn w:val="Normal"/>
    <w:next w:val="Normal"/>
    <w:link w:val="Judul2K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Judul3">
    <w:name w:val="heading 3"/>
    <w:basedOn w:val="Normal"/>
    <w:next w:val="Normal"/>
    <w:link w:val="Judul3KAR"/>
    <w:uiPriority w:val="9"/>
    <w:unhideWhenUsed/>
    <w:qFormat/>
    <w:rsid w:val="00C940F0"/>
    <w:pPr>
      <w:keepNext/>
      <w:keepLines/>
      <w:spacing w:before="240" w:after="120"/>
      <w:ind w:firstLine="0"/>
      <w:outlineLvl w:val="2"/>
    </w:pPr>
    <w:rPr>
      <w:rFonts w:eastAsiaTheme="majorEastAsia" w:cstheme="majorBidi"/>
      <w:bCs/>
      <w:i/>
    </w:rPr>
  </w:style>
  <w:style w:type="paragraph" w:styleId="Judul4">
    <w:name w:val="heading 4"/>
    <w:basedOn w:val="Normal"/>
    <w:next w:val="Normal"/>
    <w:link w:val="Judul4K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KAR"/>
    <w:uiPriority w:val="99"/>
    <w:unhideWhenUsed/>
    <w:rsid w:val="00700A34"/>
    <w:pPr>
      <w:tabs>
        <w:tab w:val="center" w:pos="4680"/>
        <w:tab w:val="right" w:pos="9360"/>
      </w:tabs>
    </w:pPr>
    <w:rPr>
      <w:sz w:val="20"/>
      <w:szCs w:val="20"/>
    </w:rPr>
  </w:style>
  <w:style w:type="character" w:customStyle="1" w:styleId="HeaderKAR">
    <w:name w:val="Header KAR"/>
    <w:link w:val="Header"/>
    <w:uiPriority w:val="99"/>
    <w:locked/>
    <w:rsid w:val="00700A34"/>
    <w:rPr>
      <w:rFonts w:cs="Times New Roman"/>
    </w:rPr>
  </w:style>
  <w:style w:type="paragraph" w:styleId="Footer">
    <w:name w:val="footer"/>
    <w:basedOn w:val="Normal"/>
    <w:link w:val="FooterKAR"/>
    <w:uiPriority w:val="99"/>
    <w:unhideWhenUsed/>
    <w:rsid w:val="00700A34"/>
    <w:pPr>
      <w:tabs>
        <w:tab w:val="center" w:pos="4680"/>
        <w:tab w:val="right" w:pos="9360"/>
      </w:tabs>
    </w:pPr>
    <w:rPr>
      <w:sz w:val="20"/>
      <w:szCs w:val="20"/>
    </w:rPr>
  </w:style>
  <w:style w:type="character" w:customStyle="1" w:styleId="FooterKAR">
    <w:name w:val="Footer K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TidakAdaSpasi">
    <w:name w:val="No Spacing"/>
    <w:uiPriority w:val="1"/>
    <w:qFormat/>
    <w:rsid w:val="00AA38D2"/>
    <w:rPr>
      <w:rFonts w:cs="Times New Roman"/>
      <w:sz w:val="22"/>
      <w:szCs w:val="22"/>
      <w:lang w:val="en-US" w:eastAsia="en-US"/>
    </w:rPr>
  </w:style>
  <w:style w:type="character" w:customStyle="1" w:styleId="Judul1KAR">
    <w:name w:val="Judul 1 KAR"/>
    <w:link w:val="Judul1"/>
    <w:uiPriority w:val="9"/>
    <w:rsid w:val="005F5C3C"/>
    <w:rPr>
      <w:rFonts w:ascii="Garamond" w:hAnsi="Garamond" w:cs="Times New Roman"/>
      <w:b/>
      <w:bCs/>
      <w:caps/>
      <w:kern w:val="32"/>
      <w:sz w:val="24"/>
      <w:szCs w:val="32"/>
      <w:lang w:val="en-US" w:eastAsia="en-US"/>
    </w:rPr>
  </w:style>
  <w:style w:type="character" w:customStyle="1" w:styleId="DaftarParagrafKAR">
    <w:name w:val="Daftar Paragraf KAR"/>
    <w:link w:val="DaftarParagraf"/>
    <w:uiPriority w:val="34"/>
    <w:rsid w:val="00257BA8"/>
    <w:rPr>
      <w:rFonts w:ascii="Garamond" w:hAnsi="Garamond" w:cs="Times New Roman"/>
      <w:sz w:val="24"/>
      <w:szCs w:val="22"/>
      <w:lang w:val="en-US" w:eastAsia="en-US"/>
    </w:rPr>
  </w:style>
  <w:style w:type="paragraph" w:styleId="HTMLSudahDiformat">
    <w:name w:val="HTML Preformatted"/>
    <w:basedOn w:val="Normal"/>
    <w:link w:val="HTMLSudahDiformatK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SudahDiformatKAR">
    <w:name w:val="HTML Sudah Diformat KAR"/>
    <w:link w:val="HTMLSudahDiformat"/>
    <w:uiPriority w:val="99"/>
    <w:rsid w:val="00864E93"/>
    <w:rPr>
      <w:rFonts w:ascii="Courier New" w:hAnsi="Courier New" w:cs="Courier New"/>
    </w:rPr>
  </w:style>
  <w:style w:type="character" w:styleId="ReferensiKomentar">
    <w:name w:val="annotation reference"/>
    <w:basedOn w:val="FontParagrafDefault"/>
    <w:uiPriority w:val="99"/>
    <w:semiHidden/>
    <w:unhideWhenUsed/>
    <w:rsid w:val="005B099F"/>
    <w:rPr>
      <w:sz w:val="16"/>
      <w:szCs w:val="16"/>
    </w:rPr>
  </w:style>
  <w:style w:type="paragraph" w:styleId="TeksKomentar">
    <w:name w:val="annotation text"/>
    <w:basedOn w:val="Normal"/>
    <w:link w:val="TeksKomentarKAR"/>
    <w:uiPriority w:val="99"/>
    <w:semiHidden/>
    <w:unhideWhenUsed/>
    <w:rsid w:val="005B099F"/>
    <w:rPr>
      <w:sz w:val="20"/>
      <w:szCs w:val="20"/>
    </w:rPr>
  </w:style>
  <w:style w:type="character" w:customStyle="1" w:styleId="TeksKomentarKAR">
    <w:name w:val="Teks Komentar KAR"/>
    <w:basedOn w:val="FontParagrafDefault"/>
    <w:link w:val="TeksKomentar"/>
    <w:uiPriority w:val="99"/>
    <w:semiHidden/>
    <w:rsid w:val="005B099F"/>
    <w:rPr>
      <w:rFonts w:cs="Times New Roman"/>
      <w:lang w:val="en-US" w:eastAsia="en-US"/>
    </w:rPr>
  </w:style>
  <w:style w:type="paragraph" w:styleId="SubjekKomentar">
    <w:name w:val="annotation subject"/>
    <w:basedOn w:val="TeksKomentar"/>
    <w:next w:val="TeksKomentar"/>
    <w:link w:val="SubjekKomentarKAR"/>
    <w:uiPriority w:val="99"/>
    <w:semiHidden/>
    <w:unhideWhenUsed/>
    <w:rsid w:val="005B099F"/>
    <w:rPr>
      <w:b/>
      <w:bCs/>
    </w:rPr>
  </w:style>
  <w:style w:type="character" w:customStyle="1" w:styleId="SubjekKomentarKAR">
    <w:name w:val="Subjek Komentar KAR"/>
    <w:basedOn w:val="TeksKomentarKAR"/>
    <w:link w:val="SubjekKomentar"/>
    <w:uiPriority w:val="99"/>
    <w:semiHidden/>
    <w:rsid w:val="005B099F"/>
    <w:rPr>
      <w:rFonts w:cs="Times New Roman"/>
      <w:b/>
      <w:bCs/>
      <w:lang w:val="en-US" w:eastAsia="en-US"/>
    </w:rPr>
  </w:style>
  <w:style w:type="paragraph" w:styleId="TeksBalon">
    <w:name w:val="Balloon Text"/>
    <w:basedOn w:val="Normal"/>
    <w:link w:val="TeksBalonKAR"/>
    <w:uiPriority w:val="99"/>
    <w:semiHidden/>
    <w:unhideWhenUsed/>
    <w:rsid w:val="005B099F"/>
    <w:rPr>
      <w:rFonts w:ascii="Tahoma" w:hAnsi="Tahoma" w:cs="Tahoma"/>
      <w:sz w:val="16"/>
      <w:szCs w:val="16"/>
    </w:rPr>
  </w:style>
  <w:style w:type="character" w:customStyle="1" w:styleId="TeksBalonKAR">
    <w:name w:val="Teks Balon KAR"/>
    <w:basedOn w:val="FontParagrafDefault"/>
    <w:link w:val="TeksBalon"/>
    <w:uiPriority w:val="99"/>
    <w:semiHidden/>
    <w:rsid w:val="005B099F"/>
    <w:rPr>
      <w:rFonts w:ascii="Tahoma" w:hAnsi="Tahoma" w:cs="Tahoma"/>
      <w:sz w:val="16"/>
      <w:szCs w:val="16"/>
      <w:lang w:val="en-US" w:eastAsia="en-US"/>
    </w:rPr>
  </w:style>
  <w:style w:type="table" w:styleId="KisiTabel">
    <w:name w:val="Table Grid"/>
    <w:basedOn w:val="TabelNormal"/>
    <w:uiPriority w:val="59"/>
    <w:rsid w:val="00FB62F9"/>
    <w:pPr>
      <w:ind w:left="2160" w:hanging="360"/>
      <w:jc w:val="both"/>
    </w:pPr>
    <w:rPr>
      <w:rFonts w:eastAsia="Calibri"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CatatanKaki">
    <w:name w:val="footnote text"/>
    <w:basedOn w:val="Normal"/>
    <w:link w:val="TeksCatatanKakiKAR"/>
    <w:uiPriority w:val="99"/>
    <w:unhideWhenUsed/>
    <w:rsid w:val="00292AA7"/>
    <w:rPr>
      <w:rFonts w:eastAsia="Calibri"/>
      <w:sz w:val="20"/>
      <w:szCs w:val="20"/>
    </w:rPr>
  </w:style>
  <w:style w:type="character" w:customStyle="1" w:styleId="TeksCatatanKakiKAR">
    <w:name w:val="Teks Catatan Kaki KAR"/>
    <w:basedOn w:val="FontParagrafDefault"/>
    <w:link w:val="TeksCatatanKaki"/>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TeksIsi">
    <w:name w:val="Body Text"/>
    <w:aliases w:val="8. Body Text"/>
    <w:link w:val="TeksIsiKAR"/>
    <w:rsid w:val="00F340C4"/>
    <w:pPr>
      <w:spacing w:after="120"/>
      <w:ind w:firstLine="709"/>
      <w:jc w:val="both"/>
    </w:pPr>
    <w:rPr>
      <w:rFonts w:ascii="Garamond" w:eastAsia="SimSun" w:hAnsi="Garamond" w:cs="Times New Roman"/>
      <w:spacing w:val="-1"/>
      <w:sz w:val="24"/>
      <w:lang w:val="en-US" w:eastAsia="en-US"/>
    </w:rPr>
  </w:style>
  <w:style w:type="character" w:customStyle="1" w:styleId="TeksIsiKAR">
    <w:name w:val="Teks Isi KAR"/>
    <w:aliases w:val="8. Body Text KAR"/>
    <w:basedOn w:val="FontParagrafDefault"/>
    <w:link w:val="TeksIsi"/>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Judul2KAR">
    <w:name w:val="Judul 2 KAR"/>
    <w:basedOn w:val="FontParagrafDefault"/>
    <w:link w:val="Judul2"/>
    <w:uiPriority w:val="9"/>
    <w:rsid w:val="00C940F0"/>
    <w:rPr>
      <w:rFonts w:ascii="Garamond" w:eastAsiaTheme="majorEastAsia" w:hAnsi="Garamond" w:cstheme="majorBidi"/>
      <w:b/>
      <w:bCs/>
      <w:sz w:val="24"/>
      <w:szCs w:val="26"/>
      <w:lang w:val="en-US" w:eastAsia="en-US"/>
    </w:rPr>
  </w:style>
  <w:style w:type="character" w:customStyle="1" w:styleId="Judul3KAR">
    <w:name w:val="Judul 3 KAR"/>
    <w:basedOn w:val="FontParagrafDefault"/>
    <w:link w:val="Judul3"/>
    <w:uiPriority w:val="9"/>
    <w:rsid w:val="00C940F0"/>
    <w:rPr>
      <w:rFonts w:ascii="Garamond" w:eastAsiaTheme="majorEastAsia" w:hAnsi="Garamond" w:cstheme="majorBidi"/>
      <w:bCs/>
      <w:i/>
      <w:sz w:val="24"/>
      <w:szCs w:val="22"/>
      <w:lang w:val="en-US" w:eastAsia="en-US"/>
    </w:rPr>
  </w:style>
  <w:style w:type="paragraph" w:styleId="Judul">
    <w:name w:val="Title"/>
    <w:basedOn w:val="Normal"/>
    <w:next w:val="Normal"/>
    <w:link w:val="JudulK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JudulKAR">
    <w:name w:val="Judul KAR"/>
    <w:basedOn w:val="FontParagrafDefault"/>
    <w:link w:val="Judul"/>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elNormal"/>
    <w:uiPriority w:val="60"/>
    <w:rsid w:val="00B031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elNormal"/>
    <w:uiPriority w:val="65"/>
    <w:rsid w:val="00B031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elNormal"/>
    <w:uiPriority w:val="61"/>
    <w:rsid w:val="00B031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Judul4KAR">
    <w:name w:val="Judul 4 KAR"/>
    <w:basedOn w:val="FontParagrafDefault"/>
    <w:link w:val="Judul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Penekanan">
    <w:name w:val="Emphasis"/>
    <w:basedOn w:val="FontParagrafDefaul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Judul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TeksIsi"/>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Kutipan">
    <w:name w:val="Quote"/>
    <w:basedOn w:val="Normal"/>
    <w:next w:val="Normal"/>
    <w:link w:val="KutipanKAR"/>
    <w:uiPriority w:val="29"/>
    <w:qFormat/>
    <w:rsid w:val="001C167B"/>
    <w:rPr>
      <w:i/>
      <w:iCs/>
      <w:color w:val="000000" w:themeColor="text1"/>
    </w:rPr>
  </w:style>
  <w:style w:type="character" w:customStyle="1" w:styleId="KutipanKAR">
    <w:name w:val="Kutipan KAR"/>
    <w:basedOn w:val="FontParagrafDefault"/>
    <w:link w:val="Kutipan"/>
    <w:uiPriority w:val="29"/>
    <w:rsid w:val="001C167B"/>
    <w:rPr>
      <w:rFonts w:ascii="Garamond" w:hAnsi="Garamond" w:cs="Times New Roman"/>
      <w:i/>
      <w:iCs/>
      <w:color w:val="000000" w:themeColor="text1"/>
      <w:sz w:val="24"/>
      <w:szCs w:val="22"/>
      <w:lang w:val="en-US" w:eastAsia="en-US"/>
    </w:rPr>
  </w:style>
  <w:style w:type="paragraph" w:styleId="KutipanyangSering">
    <w:name w:val="Intense Quote"/>
    <w:basedOn w:val="Normal"/>
    <w:next w:val="Normal"/>
    <w:link w:val="KutipanyangSeringK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KutipanyangSeringKAR">
    <w:name w:val="Kutipan yang Sering KAR"/>
    <w:basedOn w:val="FontParagrafDefault"/>
    <w:link w:val="KutipanyangSering"/>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Kutipan"/>
    <w:qFormat/>
    <w:rsid w:val="001C167B"/>
    <w:pPr>
      <w:ind w:left="720"/>
    </w:pPr>
    <w:rPr>
      <w:lang w:val="id-ID"/>
    </w:rPr>
  </w:style>
  <w:style w:type="paragraph" w:customStyle="1" w:styleId="7Bagian-Section">
    <w:name w:val="7. Bagian -Section"/>
    <w:basedOn w:val="Judul1"/>
    <w:qFormat/>
    <w:rsid w:val="00D53F9E"/>
    <w:rPr>
      <w:lang w:val="id-ID"/>
    </w:rPr>
  </w:style>
  <w:style w:type="paragraph" w:customStyle="1" w:styleId="7SubBagian-SubSection">
    <w:name w:val="7. Sub Bagian-Sub Section"/>
    <w:basedOn w:val="Judul2"/>
    <w:next w:val="8ParagrafAwal-FirstParagraph"/>
    <w:qFormat/>
    <w:rsid w:val="00D53F9E"/>
  </w:style>
  <w:style w:type="paragraph" w:customStyle="1" w:styleId="7SubSubBagian-SubSubSection">
    <w:name w:val="7. Sub Sub Bagian - Sub Sub Section"/>
    <w:basedOn w:val="Judul3"/>
    <w:qFormat/>
    <w:rsid w:val="00D53F9E"/>
  </w:style>
  <w:style w:type="character" w:customStyle="1" w:styleId="SebutanYangBelumTerselesaikan1">
    <w:name w:val="Sebutan Yang Belum Terselesaikan1"/>
    <w:basedOn w:val="FontParagrafDefault"/>
    <w:uiPriority w:val="99"/>
    <w:semiHidden/>
    <w:unhideWhenUsed/>
    <w:rsid w:val="002B248B"/>
    <w:rPr>
      <w:color w:val="605E5C"/>
      <w:shd w:val="clear" w:color="auto" w:fill="E1DFDD"/>
    </w:rPr>
  </w:style>
  <w:style w:type="paragraph" w:styleId="Keterangan">
    <w:name w:val="caption"/>
    <w:basedOn w:val="Normal"/>
    <w:next w:val="Normal"/>
    <w:uiPriority w:val="35"/>
    <w:unhideWhenUsed/>
    <w:qFormat/>
    <w:rsid w:val="003F40B6"/>
    <w:pPr>
      <w:spacing w:after="200"/>
      <w:ind w:firstLine="0"/>
    </w:pPr>
    <w:rPr>
      <w:rFonts w:asciiTheme="minorHAnsi" w:eastAsiaTheme="minorHAnsi" w:hAnsiTheme="minorHAnsi" w:cstheme="minorBidi"/>
      <w:i/>
      <w:iCs/>
      <w:color w:val="1F497D" w:themeColor="text2"/>
      <w:sz w:val="18"/>
      <w:szCs w:val="18"/>
      <w:lang w:val="id-ID"/>
    </w:rPr>
  </w:style>
  <w:style w:type="character" w:styleId="Tempatpenampungteks">
    <w:name w:val="Placeholder Text"/>
    <w:basedOn w:val="FontParagrafDefault"/>
    <w:uiPriority w:val="99"/>
    <w:semiHidden/>
    <w:rsid w:val="001E5B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gus.gusmawan@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git.hariyadi@mail.unnes.ac.i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9F10C-E6E0-4187-B6A9-D4A3C04D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4337</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dc:creator>
  <dc:description/>
  <cp:lastModifiedBy>Ari Gusmawan</cp:lastModifiedBy>
  <cp:revision>4</cp:revision>
  <cp:lastPrinted>2016-05-30T03:01:00Z</cp:lastPrinted>
  <dcterms:created xsi:type="dcterms:W3CDTF">2022-07-25T05:23:00Z</dcterms:created>
  <dcterms:modified xsi:type="dcterms:W3CDTF">2022-08-13T12:51:00Z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