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90E" w:rsidRPr="0022290E" w:rsidRDefault="00496601" w:rsidP="00496601">
      <w:pPr>
        <w:pStyle w:val="01NamaJurnal-JournalName"/>
        <w:tabs>
          <w:tab w:val="left" w:pos="765"/>
          <w:tab w:val="right" w:pos="9071"/>
        </w:tabs>
        <w:jc w:val="left"/>
      </w:pPr>
      <w:r>
        <w:rPr>
          <w:noProof/>
        </w:rPr>
        <w:drawing>
          <wp:anchor distT="0" distB="0" distL="114300" distR="114300" simplePos="0" relativeHeight="251659264" behindDoc="1" locked="0" layoutInCell="1" allowOverlap="1" wp14:anchorId="0E2F3CA7" wp14:editId="453689AA">
            <wp:simplePos x="0" y="0"/>
            <wp:positionH relativeFrom="page">
              <wp:posOffset>942340</wp:posOffset>
            </wp:positionH>
            <wp:positionV relativeFrom="page">
              <wp:posOffset>921385</wp:posOffset>
            </wp:positionV>
            <wp:extent cx="2062480" cy="3409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2480" cy="340995"/>
                    </a:xfrm>
                    <a:prstGeom prst="rect">
                      <a:avLst/>
                    </a:prstGeom>
                    <a:noFill/>
                  </pic:spPr>
                </pic:pic>
              </a:graphicData>
            </a:graphic>
            <wp14:sizeRelH relativeFrom="page">
              <wp14:pctWidth>0</wp14:pctWidth>
            </wp14:sizeRelH>
            <wp14:sizeRelV relativeFrom="page">
              <wp14:pctHeight>0</wp14:pctHeight>
            </wp14:sizeRelV>
          </wp:anchor>
        </w:drawing>
      </w:r>
      <w:r>
        <w:rPr>
          <w:lang w:val="id-ID"/>
        </w:rPr>
        <w:tab/>
      </w:r>
      <w:r>
        <w:rPr>
          <w:lang w:val="id-ID"/>
        </w:rPr>
        <w:tab/>
      </w:r>
      <w:r w:rsidR="00D254AE">
        <w:rPr>
          <w:lang w:val="id-ID"/>
        </w:rPr>
        <w:t>JNSI</w:t>
      </w:r>
      <w:r w:rsidR="00862A84">
        <w:rPr>
          <w:lang w:val="id-ID"/>
        </w:rPr>
        <w:t xml:space="preserve">: Journal </w:t>
      </w:r>
      <w:r w:rsidR="00A832DD">
        <w:rPr>
          <w:lang w:val="id-ID"/>
        </w:rPr>
        <w:t>of Natur</w:t>
      </w:r>
      <w:r w:rsidR="00D254AE">
        <w:rPr>
          <w:lang w:val="id-ID"/>
        </w:rPr>
        <w:t>al Science and Integration</w:t>
      </w:r>
    </w:p>
    <w:p w:rsidR="0022290E" w:rsidRPr="00065D08" w:rsidRDefault="00FB5337" w:rsidP="00065D08">
      <w:pPr>
        <w:pStyle w:val="02ISSN"/>
      </w:pPr>
      <w:r>
        <w:tab/>
      </w:r>
      <w:r>
        <w:tab/>
      </w:r>
      <w:r w:rsidR="0022290E">
        <w:t>p-ISSN:</w:t>
      </w:r>
      <w:r w:rsidR="0022290E" w:rsidRPr="00B43E44">
        <w:t xml:space="preserve"> </w:t>
      </w:r>
      <w:r w:rsidR="00065D08">
        <w:rPr>
          <w:lang w:val="en-US"/>
        </w:rPr>
        <w:t>2620</w:t>
      </w:r>
      <w:r w:rsidR="0022290E">
        <w:t>-</w:t>
      </w:r>
      <w:r w:rsidR="00065D08">
        <w:rPr>
          <w:lang w:val="en-US"/>
        </w:rPr>
        <w:t>4967</w:t>
      </w:r>
      <w:r w:rsidR="0022290E">
        <w:t xml:space="preserve">|e-ISSN: </w:t>
      </w:r>
      <w:r w:rsidR="00065D08">
        <w:rPr>
          <w:lang w:val="en-US"/>
        </w:rPr>
        <w:t>2620</w:t>
      </w:r>
      <w:r w:rsidR="0022290E">
        <w:t>-</w:t>
      </w:r>
      <w:r w:rsidR="00065D08">
        <w:rPr>
          <w:lang w:val="en-US"/>
        </w:rPr>
        <w:t>5092</w:t>
      </w:r>
    </w:p>
    <w:p w:rsidR="0022290E" w:rsidRDefault="00D254AE" w:rsidP="007708C5">
      <w:pPr>
        <w:pStyle w:val="03Volume"/>
      </w:pPr>
      <w:r>
        <w:rPr>
          <w:b/>
        </w:rPr>
        <w:tab/>
      </w:r>
      <w:r w:rsidR="00CF5309">
        <w:rPr>
          <w:b/>
        </w:rPr>
        <w:tab/>
      </w:r>
      <w:r w:rsidR="00A832DD">
        <w:rPr>
          <w:b/>
        </w:rPr>
        <w:tab/>
      </w:r>
      <w:r>
        <w:rPr>
          <w:b/>
        </w:rPr>
        <w:tab/>
      </w:r>
      <w:r w:rsidR="0022290E" w:rsidRPr="00065D08">
        <w:t xml:space="preserve">Vol. </w:t>
      </w:r>
      <w:r w:rsidR="00FB5337" w:rsidRPr="00065D08">
        <w:t>2</w:t>
      </w:r>
      <w:r w:rsidR="0022290E" w:rsidRPr="00047629">
        <w:t xml:space="preserve">, No. </w:t>
      </w:r>
      <w:r w:rsidR="007708C5">
        <w:t>2</w:t>
      </w:r>
      <w:r w:rsidR="0022290E" w:rsidRPr="00047629">
        <w:t xml:space="preserve">, </w:t>
      </w:r>
      <w:r w:rsidR="007708C5">
        <w:t>Oktober</w:t>
      </w:r>
      <w:r w:rsidR="006852E9">
        <w:t xml:space="preserve"> </w:t>
      </w:r>
      <w:r w:rsidR="0022290E" w:rsidRPr="00047629">
        <w:t>201</w:t>
      </w:r>
      <w:r w:rsidR="00FB5337">
        <w:t>9</w:t>
      </w:r>
      <w:r w:rsidR="006852E9">
        <w:t xml:space="preserve">, </w:t>
      </w:r>
      <w:r w:rsidR="007708C5">
        <w:t>Hal 1-3</w:t>
      </w:r>
    </w:p>
    <w:p w:rsidR="00B20E47" w:rsidRPr="00E95024" w:rsidRDefault="00E95024" w:rsidP="00441C92">
      <w:pPr>
        <w:pStyle w:val="1Judul-Title"/>
        <w:rPr>
          <w:lang w:val="en-US"/>
        </w:rPr>
      </w:pPr>
      <w:r>
        <w:rPr>
          <w:lang w:val="en-US"/>
        </w:rPr>
        <w:t>Kemampuan Liter</w:t>
      </w:r>
      <w:bookmarkStart w:id="0" w:name="_GoBack"/>
      <w:bookmarkEnd w:id="0"/>
      <w:r>
        <w:rPr>
          <w:lang w:val="en-US"/>
        </w:rPr>
        <w:t>asi Sains Siswa Sekolah Dasar di Sekolah Adiwiyata</w:t>
      </w:r>
      <w:r w:rsidR="00441C92">
        <w:rPr>
          <w:lang w:val="en-US"/>
        </w:rPr>
        <w:t xml:space="preserve"> (Studi Deksriptif </w:t>
      </w:r>
      <w:r w:rsidR="0014716D">
        <w:rPr>
          <w:lang w:val="en-US"/>
        </w:rPr>
        <w:t xml:space="preserve"> </w:t>
      </w:r>
      <w:r w:rsidR="00441C92">
        <w:rPr>
          <w:lang w:val="en-US"/>
        </w:rPr>
        <w:t>di SD Adiwiyata X Kota Padang)</w:t>
      </w:r>
    </w:p>
    <w:p w:rsidR="00690742" w:rsidRPr="0069718E" w:rsidRDefault="00E95024" w:rsidP="007708C5">
      <w:pPr>
        <w:pStyle w:val="2Penulis-Author"/>
      </w:pPr>
      <w:r>
        <w:rPr>
          <w:lang w:val="en-US"/>
        </w:rPr>
        <w:t>Safrizal</w:t>
      </w:r>
      <w:r w:rsidR="00AA0FA8" w:rsidRPr="0069718E">
        <w:rPr>
          <w:vertAlign w:val="superscript"/>
        </w:rPr>
        <w:t>1</w:t>
      </w:r>
      <w:r w:rsidR="00690742" w:rsidRPr="0069718E">
        <w:t xml:space="preserve">, </w:t>
      </w:r>
      <w:r w:rsidR="00BE3F96">
        <w:rPr>
          <w:lang w:val="en-US"/>
        </w:rPr>
        <w:t xml:space="preserve">dan </w:t>
      </w:r>
      <w:r>
        <w:rPr>
          <w:lang w:val="en-US"/>
        </w:rPr>
        <w:t>Lenny Zaroha</w:t>
      </w:r>
      <w:r w:rsidR="00AA0FA8" w:rsidRPr="00D254AE">
        <w:rPr>
          <w:vertAlign w:val="superscript"/>
        </w:rPr>
        <w:t>2</w:t>
      </w:r>
      <w:r w:rsidR="00690742" w:rsidRPr="0069718E">
        <w:t xml:space="preserve">, </w:t>
      </w:r>
      <w:r>
        <w:t xml:space="preserve">dan </w:t>
      </w:r>
      <w:r w:rsidR="00BE3F96">
        <w:rPr>
          <w:lang w:val="en-US"/>
        </w:rPr>
        <w:t>Resti Yulia</w:t>
      </w:r>
      <w:r w:rsidR="00AA0FA8" w:rsidRPr="0069718E">
        <w:rPr>
          <w:vertAlign w:val="superscript"/>
        </w:rPr>
        <w:t>3</w:t>
      </w:r>
    </w:p>
    <w:p w:rsidR="00690742" w:rsidRPr="00E95024" w:rsidRDefault="00AA0FA8" w:rsidP="007708C5">
      <w:pPr>
        <w:pStyle w:val="3Alamat-Address"/>
        <w:ind w:left="1418"/>
        <w:jc w:val="left"/>
        <w:rPr>
          <w:lang w:val="en-US"/>
        </w:rPr>
      </w:pPr>
      <w:r w:rsidRPr="0069718E">
        <w:rPr>
          <w:vertAlign w:val="superscript"/>
        </w:rPr>
        <w:t>1</w:t>
      </w:r>
      <w:r w:rsidR="00760BF6" w:rsidRPr="0069718E">
        <w:rPr>
          <w:vertAlign w:val="superscript"/>
        </w:rPr>
        <w:t xml:space="preserve"> </w:t>
      </w:r>
      <w:r w:rsidR="00E95024">
        <w:rPr>
          <w:lang w:val="en-US"/>
        </w:rPr>
        <w:t>Pendidikan Guru Madrasah Ibtidaiyah</w:t>
      </w:r>
      <w:r w:rsidR="00E95024">
        <w:t>, I</w:t>
      </w:r>
      <w:r w:rsidR="00E95024">
        <w:rPr>
          <w:lang w:val="en-US"/>
        </w:rPr>
        <w:t>AIN Batusangkar Sumatera Barat</w:t>
      </w:r>
    </w:p>
    <w:p w:rsidR="00B62104" w:rsidRDefault="00760BF6" w:rsidP="007708C5">
      <w:pPr>
        <w:pStyle w:val="3Alamat-Address"/>
        <w:ind w:left="1418"/>
        <w:jc w:val="left"/>
        <w:rPr>
          <w:lang w:val="en-US"/>
        </w:rPr>
      </w:pPr>
      <w:r w:rsidRPr="0069718E">
        <w:rPr>
          <w:vertAlign w:val="superscript"/>
        </w:rPr>
        <w:t xml:space="preserve">2 </w:t>
      </w:r>
      <w:r w:rsidR="00E95024">
        <w:rPr>
          <w:lang w:val="en-US"/>
        </w:rPr>
        <w:t>Sekolah Dasar Negeri 22 Ujung Gurun Padang</w:t>
      </w:r>
    </w:p>
    <w:p w:rsidR="00B62104" w:rsidRPr="00054777" w:rsidRDefault="00BE3F96" w:rsidP="00054777">
      <w:pPr>
        <w:pStyle w:val="3Alamat-Address"/>
        <w:ind w:left="1418"/>
        <w:jc w:val="left"/>
        <w:rPr>
          <w:lang w:val="en-US"/>
        </w:rPr>
      </w:pPr>
      <w:r>
        <w:rPr>
          <w:vertAlign w:val="superscript"/>
          <w:lang w:val="en-US"/>
        </w:rPr>
        <w:t xml:space="preserve">3 </w:t>
      </w:r>
      <w:r>
        <w:rPr>
          <w:lang w:val="en-US"/>
        </w:rPr>
        <w:t>Rumah Anak Sholeh 85 Padang</w:t>
      </w:r>
    </w:p>
    <w:p w:rsidR="00B62104" w:rsidRPr="0069718E" w:rsidRDefault="00B62104" w:rsidP="00B62104">
      <w:pPr>
        <w:pStyle w:val="3Alamat-Address"/>
        <w:ind w:left="0"/>
        <w:jc w:val="center"/>
      </w:pPr>
    </w:p>
    <w:p w:rsidR="00B62104" w:rsidRDefault="00AA0FA8" w:rsidP="007708C5">
      <w:pPr>
        <w:pStyle w:val="4email-email"/>
        <w:ind w:left="1418" w:firstLine="0"/>
      </w:pPr>
      <w:r w:rsidRPr="009A23F7">
        <w:t>e</w:t>
      </w:r>
      <w:r w:rsidR="005A09A5" w:rsidRPr="009A23F7">
        <w:t>-</w:t>
      </w:r>
      <w:r w:rsidR="00B62104">
        <w:t>mail:</w:t>
      </w:r>
    </w:p>
    <w:p w:rsidR="00690742" w:rsidRDefault="00B62104" w:rsidP="007708C5">
      <w:pPr>
        <w:pStyle w:val="4email-email"/>
        <w:ind w:left="1418" w:firstLine="0"/>
        <w:rPr>
          <w:lang w:val="en-US"/>
        </w:rPr>
      </w:pPr>
      <w:r w:rsidRPr="00B62104">
        <w:rPr>
          <w:vertAlign w:val="superscript"/>
        </w:rPr>
        <w:t>1</w:t>
      </w:r>
      <w:r>
        <w:t xml:space="preserve"> </w:t>
      </w:r>
      <w:hyperlink r:id="rId9" w:history="1">
        <w:r w:rsidR="00867498" w:rsidRPr="00327101">
          <w:rPr>
            <w:rStyle w:val="Hyperlink"/>
            <w:lang w:val="en-US"/>
          </w:rPr>
          <w:t>safrizal@iainbatusangkar.ac.id</w:t>
        </w:r>
      </w:hyperlink>
    </w:p>
    <w:p w:rsidR="00BE3F96" w:rsidRDefault="00867498" w:rsidP="007708C5">
      <w:pPr>
        <w:pStyle w:val="4email-email"/>
        <w:ind w:left="1418" w:firstLine="0"/>
        <w:rPr>
          <w:rStyle w:val="Hyperlink"/>
          <w:color w:val="auto"/>
          <w:u w:val="none"/>
          <w:lang w:val="en-US"/>
        </w:rPr>
      </w:pPr>
      <w:r>
        <w:rPr>
          <w:vertAlign w:val="superscript"/>
          <w:lang w:val="en-US"/>
        </w:rPr>
        <w:t xml:space="preserve">2 </w:t>
      </w:r>
      <w:hyperlink r:id="rId10" w:history="1">
        <w:r w:rsidR="00B11416" w:rsidRPr="00327101">
          <w:rPr>
            <w:rStyle w:val="Hyperlink"/>
            <w:lang w:val="en-US"/>
          </w:rPr>
          <w:t>lennyzaroha@yahoo.com</w:t>
        </w:r>
      </w:hyperlink>
      <w:r w:rsidR="00B11416">
        <w:rPr>
          <w:rStyle w:val="Hyperlink"/>
          <w:color w:val="auto"/>
          <w:u w:val="none"/>
          <w:lang w:val="en-US"/>
        </w:rPr>
        <w:t xml:space="preserve"> </w:t>
      </w:r>
      <w:r w:rsidR="00054777">
        <w:rPr>
          <w:rStyle w:val="Hyperlink"/>
          <w:color w:val="auto"/>
          <w:u w:val="none"/>
          <w:lang w:val="en-US"/>
        </w:rPr>
        <w:t xml:space="preserve"> </w:t>
      </w:r>
    </w:p>
    <w:p w:rsidR="00B62104" w:rsidRPr="00B11416" w:rsidRDefault="00BE3F96" w:rsidP="00B11416">
      <w:pPr>
        <w:pStyle w:val="4email-email"/>
        <w:ind w:left="1418" w:firstLine="0"/>
        <w:rPr>
          <w:rStyle w:val="Hyperlink"/>
          <w:color w:val="auto"/>
          <w:u w:val="none"/>
          <w:lang w:val="en-US"/>
        </w:rPr>
      </w:pPr>
      <w:r>
        <w:rPr>
          <w:rStyle w:val="Hyperlink"/>
          <w:color w:val="auto"/>
          <w:u w:val="none"/>
          <w:vertAlign w:val="superscript"/>
          <w:lang w:val="en-US"/>
        </w:rPr>
        <w:t xml:space="preserve">3 </w:t>
      </w:r>
      <w:hyperlink r:id="rId11" w:history="1">
        <w:r w:rsidRPr="00327101">
          <w:rPr>
            <w:rStyle w:val="Hyperlink"/>
            <w:lang w:val="en-US"/>
          </w:rPr>
          <w:t>restiyulia911@gmail.com</w:t>
        </w:r>
      </w:hyperlink>
      <w:r>
        <w:rPr>
          <w:rStyle w:val="Hyperlink"/>
          <w:color w:val="auto"/>
          <w:u w:val="none"/>
          <w:lang w:val="en-US"/>
        </w:rPr>
        <w:t xml:space="preserve">  </w:t>
      </w:r>
    </w:p>
    <w:p w:rsidR="00B62104" w:rsidRPr="009A23F7" w:rsidRDefault="00B62104" w:rsidP="00B62104">
      <w:pPr>
        <w:pStyle w:val="4email-email"/>
        <w:tabs>
          <w:tab w:val="left" w:pos="1985"/>
        </w:tabs>
        <w:jc w:val="center"/>
      </w:pPr>
    </w:p>
    <w:p w:rsidR="00B11416" w:rsidRDefault="00B11416" w:rsidP="00B11416">
      <w:pPr>
        <w:pStyle w:val="HTMLPreformatted"/>
        <w:tabs>
          <w:tab w:val="clear" w:pos="916"/>
        </w:tabs>
        <w:ind w:left="1440" w:firstLine="0"/>
        <w:jc w:val="both"/>
        <w:rPr>
          <w:rFonts w:ascii="Garamond" w:hAnsi="Garamond" w:cs="Courier New"/>
          <w:color w:val="222222"/>
          <w:lang w:val="en"/>
        </w:rPr>
      </w:pPr>
      <w:r w:rsidRPr="00B11416">
        <w:rPr>
          <w:b/>
        </w:rPr>
        <w:t xml:space="preserve">ABSTRACT. </w:t>
      </w:r>
      <w:r w:rsidRPr="00B11416">
        <w:rPr>
          <w:rFonts w:ascii="Garamond" w:hAnsi="Garamond" w:cs="Courier New"/>
          <w:color w:val="222222"/>
          <w:lang w:val="en"/>
        </w:rPr>
        <w:t xml:space="preserve">The </w:t>
      </w:r>
      <w:r>
        <w:rPr>
          <w:rFonts w:ascii="Garamond" w:hAnsi="Garamond" w:cs="Courier New"/>
          <w:color w:val="222222"/>
          <w:lang w:val="en"/>
        </w:rPr>
        <w:t>aims</w:t>
      </w:r>
      <w:r w:rsidRPr="00B11416">
        <w:rPr>
          <w:rFonts w:ascii="Garamond" w:hAnsi="Garamond" w:cs="Courier New"/>
          <w:color w:val="222222"/>
          <w:lang w:val="en"/>
        </w:rPr>
        <w:t xml:space="preserve"> of this study is to describe the ability of scientific literacy of students in Adiwiyata</w:t>
      </w:r>
      <w:r w:rsidR="00965B79">
        <w:rPr>
          <w:rFonts w:ascii="Garamond" w:hAnsi="Garamond" w:cs="Courier New"/>
          <w:color w:val="222222"/>
          <w:lang w:val="en"/>
        </w:rPr>
        <w:t>’s</w:t>
      </w:r>
      <w:r w:rsidRPr="00B11416">
        <w:rPr>
          <w:rFonts w:ascii="Garamond" w:hAnsi="Garamond" w:cs="Courier New"/>
          <w:color w:val="222222"/>
          <w:lang w:val="en"/>
        </w:rPr>
        <w:t xml:space="preserve"> school on three aspects, </w:t>
      </w:r>
      <w:r>
        <w:rPr>
          <w:rFonts w:ascii="Garamond" w:hAnsi="Garamond" w:cs="Courier New"/>
          <w:color w:val="222222"/>
          <w:lang w:val="en"/>
        </w:rPr>
        <w:t>they are</w:t>
      </w:r>
      <w:r w:rsidRPr="00B11416">
        <w:rPr>
          <w:rFonts w:ascii="Garamond" w:hAnsi="Garamond" w:cs="Courier New"/>
          <w:color w:val="222222"/>
          <w:lang w:val="en"/>
        </w:rPr>
        <w:t xml:space="preserve"> content, context, and attitude. The importance of having scientific literacy is one of the competencies must be possessed in 21st century education. 21st Century skills are no longer about memorizing a lot of knowledge, but how to apply the knowledge that has been obtained as a step in solving problems in her day-to-day life. Adiwiyata School is one of the concrete steps of the government to instill the principles and competences of scientific literacy. The research method used is descriptive quantitative. The research sample was taken using simple random sampling technique. The data collection was carried out by distributing questions and questionnaires to students in Adiwiyata School. Then, the data </w:t>
      </w:r>
      <w:r>
        <w:rPr>
          <w:rFonts w:ascii="Garamond" w:hAnsi="Garamond" w:cs="Courier New"/>
          <w:color w:val="222222"/>
          <w:lang w:val="en"/>
        </w:rPr>
        <w:t>was</w:t>
      </w:r>
      <w:r w:rsidRPr="00B11416">
        <w:rPr>
          <w:rFonts w:ascii="Garamond" w:hAnsi="Garamond" w:cs="Courier New"/>
          <w:color w:val="222222"/>
          <w:lang w:val="en"/>
        </w:rPr>
        <w:t xml:space="preserve"> analyzed using descriptive statistics by referring to categorization norms. The results showed that the scientific literacy ability of elementary school students in Adiwiyata School was in the high category. Furthermore, the ability of scientific literacy aspects of attitudes in Adiwiyata school students is in the high category namely X&gt; 53.6. While the ability of scientific literacy in the aspect of content included in the category is quite low. The acquisition of scientific literacy skills in students at Adiwiyata school is believed to be influenced by the characteristics of the school in internalizing the values </w:t>
      </w:r>
      <w:r w:rsidRPr="00B11416">
        <w:rPr>
          <w:rFonts w:ascii="Times New Roman" w:hAnsi="Times New Roman"/>
          <w:color w:val="222222"/>
          <w:lang w:val="en"/>
        </w:rPr>
        <w:t>​​</w:t>
      </w:r>
      <w:r w:rsidRPr="00B11416">
        <w:rPr>
          <w:rFonts w:ascii="Garamond" w:hAnsi="Garamond" w:cs="Courier New"/>
          <w:color w:val="222222"/>
          <w:lang w:val="en"/>
        </w:rPr>
        <w:t>of science in teaching and learning activities in the classroom.</w:t>
      </w:r>
      <w:r>
        <w:rPr>
          <w:rFonts w:ascii="Garamond" w:hAnsi="Garamond" w:cs="Courier New"/>
          <w:color w:val="222222"/>
          <w:lang w:val="en"/>
        </w:rPr>
        <w:t xml:space="preserve"> </w:t>
      </w:r>
    </w:p>
    <w:p w:rsidR="00B11416" w:rsidRDefault="00B11416" w:rsidP="00B11416">
      <w:pPr>
        <w:pStyle w:val="HTMLPreformatted"/>
        <w:tabs>
          <w:tab w:val="clear" w:pos="916"/>
        </w:tabs>
        <w:ind w:left="1440" w:firstLine="0"/>
        <w:jc w:val="both"/>
        <w:rPr>
          <w:b/>
        </w:rPr>
      </w:pPr>
    </w:p>
    <w:p w:rsidR="0026488E" w:rsidRPr="00054777" w:rsidRDefault="00B11416" w:rsidP="00054777">
      <w:pPr>
        <w:pStyle w:val="HTMLPreformatted"/>
        <w:tabs>
          <w:tab w:val="clear" w:pos="916"/>
        </w:tabs>
        <w:ind w:left="1440" w:firstLine="0"/>
        <w:jc w:val="both"/>
        <w:rPr>
          <w:rFonts w:ascii="Garamond" w:hAnsi="Garamond" w:cs="Courier New"/>
          <w:color w:val="222222"/>
          <w:sz w:val="42"/>
          <w:szCs w:val="42"/>
        </w:rPr>
      </w:pPr>
      <w:r w:rsidRPr="00B11416">
        <w:rPr>
          <w:rFonts w:ascii="Garamond" w:hAnsi="Garamond"/>
          <w:b/>
        </w:rPr>
        <w:t xml:space="preserve">Keywords: Adiwiyata, Scientific Literacy, Content, </w:t>
      </w:r>
      <w:r>
        <w:rPr>
          <w:rFonts w:ascii="Garamond" w:hAnsi="Garamond"/>
          <w:b/>
        </w:rPr>
        <w:t xml:space="preserve">and </w:t>
      </w:r>
      <w:r w:rsidRPr="00B11416">
        <w:rPr>
          <w:rFonts w:ascii="Garamond" w:hAnsi="Garamond"/>
          <w:b/>
        </w:rPr>
        <w:t xml:space="preserve">Context </w:t>
      </w:r>
    </w:p>
    <w:p w:rsidR="00054777" w:rsidRDefault="00855A2A" w:rsidP="00054777">
      <w:pPr>
        <w:pStyle w:val="5Abstrak-Abstract"/>
        <w:rPr>
          <w:lang w:val="en-US"/>
        </w:rPr>
      </w:pPr>
      <w:r>
        <w:rPr>
          <w:b/>
        </w:rPr>
        <w:t xml:space="preserve">ABSTRAK. </w:t>
      </w:r>
      <w:r>
        <w:rPr>
          <w:lang w:val="en-US"/>
        </w:rPr>
        <w:t xml:space="preserve">Tujuan penelitian ini adalah untuk mendeskripsikan kemampuan literasi sains siswa di sekolah Adiwiyata pada tiga aspek, yakni konten, konteks, dan sikap. Pentingnya memiliki </w:t>
      </w:r>
      <w:r w:rsidR="00867498">
        <w:rPr>
          <w:lang w:val="en-US"/>
        </w:rPr>
        <w:t xml:space="preserve">Literasi sains menjadi salah satu kompetensi yang harus dimiliki dalam pendidikan abad 21. </w:t>
      </w:r>
      <w:r>
        <w:rPr>
          <w:lang w:val="en-US"/>
        </w:rPr>
        <w:t>Hal tersebut disebabkan karena kecakapan Abad 21 bukan lagi tentang bagaimana menghafal banyak pengetahuan, namun tentang bagaimana mengaplikasikan ilmu yang sudah diperoleh dalam sebagai langkah pemecahan masalah dalam kehidupan sheari-hari</w:t>
      </w:r>
      <w:r w:rsidR="00555B85">
        <w:rPr>
          <w:lang w:val="en-US"/>
        </w:rPr>
        <w:t xml:space="preserve">. Sekolah Adiwiyata menjadi salah satu langkah konkrit pemerintan untuk menanamkan prinsip dan kompetensi literasi sains. Metode penelitian yang digunakan adalah kuanttatif deskripstif. </w:t>
      </w:r>
      <w:r w:rsidR="0014716D">
        <w:rPr>
          <w:lang w:val="en-US"/>
        </w:rPr>
        <w:t xml:space="preserve">Pengambilan sampel penelitian dilakukan dengan teknik isimple random sampling </w:t>
      </w:r>
      <w:r w:rsidR="00D601FC">
        <w:rPr>
          <w:lang w:val="en-US"/>
        </w:rPr>
        <w:t xml:space="preserve"> </w:t>
      </w:r>
      <w:r w:rsidR="00555B85">
        <w:rPr>
          <w:lang w:val="en-US"/>
        </w:rPr>
        <w:t xml:space="preserve">Pengumpulan data dilakukan dengan cara menyebarkan soal dan kuesioner kepada siswa di Sekolah Adiwiyata. Kemudian, data di analisis dengan menggunakan </w:t>
      </w:r>
      <w:r w:rsidR="00555B85">
        <w:rPr>
          <w:i/>
          <w:lang w:val="en-US"/>
        </w:rPr>
        <w:t>Statistik D</w:t>
      </w:r>
      <w:r>
        <w:rPr>
          <w:i/>
          <w:lang w:val="en-US"/>
        </w:rPr>
        <w:t xml:space="preserve">eskriptif </w:t>
      </w:r>
      <w:r>
        <w:rPr>
          <w:lang w:val="en-US"/>
        </w:rPr>
        <w:t>dengan merujuk pada norma kategorisasi.</w:t>
      </w:r>
      <w:r w:rsidR="00555B85">
        <w:rPr>
          <w:i/>
          <w:lang w:val="en-US"/>
        </w:rPr>
        <w:t xml:space="preserve"> </w:t>
      </w:r>
      <w:r w:rsidR="00555B85">
        <w:rPr>
          <w:lang w:val="en-US"/>
        </w:rPr>
        <w:t xml:space="preserve">Hasil </w:t>
      </w:r>
      <w:r>
        <w:rPr>
          <w:lang w:val="en-US"/>
        </w:rPr>
        <w:t>penelitian menunjukkan bahwa kemampuan literasi sain</w:t>
      </w:r>
      <w:r w:rsidR="009E4673">
        <w:rPr>
          <w:lang w:val="en-US"/>
        </w:rPr>
        <w:t xml:space="preserve">s siswa sekolah dasar di Sekolah Adiwiyata berada oada kategori tinggi. Selanjutnya, kemampuan literasi sains aspek sikap pada siswa sekolah Adiwiyata berada pada kategori tinggi yakni X &gt; 53,6. Sedangkan kemampuan literasi sains pada aspek konten termasuk dalam kategori cukup rendah. </w:t>
      </w:r>
      <w:r w:rsidR="0026488E">
        <w:rPr>
          <w:lang w:val="en-US"/>
        </w:rPr>
        <w:t>Pemerolehan kemampuan literasi sains pada siswa di sekolah Adiwiyata diyakini dipengaruhi oleh ke-</w:t>
      </w:r>
      <w:r w:rsidR="0026488E">
        <w:rPr>
          <w:i/>
          <w:lang w:val="en-US"/>
        </w:rPr>
        <w:t>khas-</w:t>
      </w:r>
      <w:r w:rsidR="0026488E">
        <w:rPr>
          <w:lang w:val="en-US"/>
        </w:rPr>
        <w:t xml:space="preserve">an sekolah dalam menginternalisasi nilai-nilai sains dalam aktivitas belajar mengajar di kelas. </w:t>
      </w:r>
    </w:p>
    <w:p w:rsidR="00690742" w:rsidRPr="00054777" w:rsidRDefault="005C0FCC" w:rsidP="00054777">
      <w:pPr>
        <w:pStyle w:val="5Abstrak-Abstract"/>
        <w:rPr>
          <w:lang w:val="en-US"/>
        </w:rPr>
      </w:pPr>
      <w:r>
        <w:rPr>
          <w:b/>
        </w:rPr>
        <w:t>Kata kunci</w:t>
      </w:r>
      <w:r w:rsidR="00690742" w:rsidRPr="0069718E">
        <w:t xml:space="preserve">: </w:t>
      </w:r>
      <w:r w:rsidR="0026488E">
        <w:rPr>
          <w:lang w:val="en-US"/>
        </w:rPr>
        <w:t>Adiwiyata, Literasi Sains, Konten, Konteks, Sikap</w:t>
      </w:r>
      <w:r w:rsidR="001245A4" w:rsidRPr="0069718E">
        <w:t>.</w:t>
      </w:r>
    </w:p>
    <w:p w:rsidR="00690742" w:rsidRDefault="00D53F9E" w:rsidP="00D53F9E">
      <w:pPr>
        <w:pStyle w:val="7Bagian-Section"/>
      </w:pPr>
      <w:r>
        <w:lastRenderedPageBreak/>
        <w:t>Pendahuluan</w:t>
      </w:r>
    </w:p>
    <w:p w:rsidR="00F728E3" w:rsidRPr="0069718E" w:rsidRDefault="00965B79" w:rsidP="00496601">
      <w:pPr>
        <w:pStyle w:val="8ParagrafLanjut"/>
      </w:pPr>
      <w:r>
        <w:t xml:space="preserve">Literasi menjadi salah satu kompetensi yang harus dimiliki dalam menghadapi era pendidikan abad 21. </w:t>
      </w:r>
      <w:r w:rsidR="0070701B">
        <w:t>Hal tersebut bermakna bahwa sebagai ujung tombak menyiapkan kompetensi abad 21, literasi sains menjadi ranah kemampuan yang sifatnya bukan hanya hafalan, namun berkaitan dengan aplikasi nilai-nilai sai</w:t>
      </w:r>
      <w:r w:rsidR="001F2D2C">
        <w:t>ns dalam kehidupan sehari-hari</w:t>
      </w:r>
      <w:r w:rsidR="00AB7DAB">
        <w:t xml:space="preserve"> </w:t>
      </w:r>
      <w:r w:rsidR="00AB7DAB">
        <w:fldChar w:fldCharType="begin" w:fldLock="1"/>
      </w:r>
      <w:r w:rsidR="00AB7DAB">
        <w:instrText>ADDIN CSL_CITATION {"citationItems":[{"id":"ITEM-1","itemData":{"DOI":"10.1002/1098-2736(200008)37:6&lt;582::AID-TEA5&gt;3.0.CO;2-L","ISSN":"00224308","abstract":"Scientific literacy is a term that has been used since the late 1950s to describe a desired familiarity with science on the part of the general public. A review of the history of science education shows that there have been at least nine separate and distinct goals of science education that are related to the larger goal of scientific literacy. It is argued in this paper that instead of defining scientific literacy in terms of specifically prescribed learning outcomes, scientific literacy should be conceptualized broadly enough for local school districts and individual classroom teachers to pursue the goals that are most suitable for their particular situations along with the content and methodologies that are most appropriate for them and their students. This would do more to enhance the public's understanding and appreciation of science than will current efforts that are too narrowly aimed at increasing scores on international tests of science knowledge. A broad and open-ended approach to scientific literacy would free teachers and students to develop a wide variety of innovative responses to the call for an increased understanding of science for all. © 2000 John Wiley &amp; Sons, Inc.","author":[{"dropping-particle":"","family":"DeBoer","given":"George E.","non-dropping-particle":"","parse-names":false,"suffix":""}],"container-title":"Journal of Research in Science Teaching","id":"ITEM-1","issue":"6","issued":{"date-parts":[["2000"]]},"page":"582-601","title":"Scientific literacy: Another look at its historical and contemporary meanings and its relationship to science education reform","type":"article-journal","volume":"37"},"uris":["http://www.mendeley.com/documents/?uuid=b6c14216-20fe-4b16-8cbb-8b4597d321fd"]},{"id":"ITEM-2","itemData":{"DOI":"10.3102/00028312033002261","ISSN":"00028312","author":[{"dropping-particle":"","family":"Eisenhart","given":"Margaret","non-dropping-particle":"","parse-names":false,"suffix":""},{"dropping-particle":"","family":"Finkel","given":"Elizabeth","non-dropping-particle":"","parse-names":false,"suffix":""},{"dropping-particle":"","family":"Marion","given":"Scott F.","non-dropping-particle":"","parse-names":false,"suffix":""}],"container-title":"American Educational Research Journal","id":"ITEM-2","issue":"2","issued":{"date-parts":[["1996"]]},"page":"261-295","title":"Creating the conditions for scientific literacy: A re-examination","type":"article-journal","volume":"33"},"uris":["http://www.mendeley.com/documents/?uuid=af5380de-9372-4098-a060-224f4f4ab094"]},{"id":"ITEM-3","itemData":{"abstract":"In the 21st century, the development of science and technology in various countries increased rapidly. In response to this development, people are required to adapt in various aspects. One of them is the aspect of education that is very important for the progress of a country. In the aspect of education there are goals that directly affect the lives of students in making decisions based on information and their understanding, also called science literacy term. In Indonesia it is still low in achieving student science literacy. Good science literacy level can improve the quality of education so that it can compete with other countries in the era of globalization. With the new curriculum, the 2013 curriculum is expected to improve the quality of education in Indonesia. In the 2013 curriculum, scientific literacy is evident through scientific inquiry activities. Schools that have implemented the 2013 curriculum mean that only applying learning oriented to science literacy, have not been applied to the student evaluation stage. In a learning process will not be separated from the evaluation stage, while one of the tools used in the evaluation phase is a test. Scientific literacy evaluation instruments already exist and can be adopted from international research such as PISA, but the results of Indonesian students' science literacy in international studies apply generally. The method used in this paper is the study of literature. The results of the thinking in this paper is an evaluation instrument to measure the science literacy in the form of test questions. The purpose of this paper is: (1) To explain more about 21st century science lesson. (2) To explain more about the students' science literacy. (3) To explain more about science-based literacy evaluation tests.","author":[{"dropping-particle":"","family":"Pratiwi","given":"S N","non-dropping-particle":"","parse-names":false,"suffix":""},{"dropping-particle":"","family":"Cari","given":"C","non-dropping-particle":"","parse-names":false,"suffix":""},{"dropping-particle":"","family":"Aminah","given":"N S","non-dropping-particle":"","parse-names":false,"suffix":""}],"container-title":"Jurnal Materi dan Pembelajaran Fisika (JMPF)","id":"ITEM-3","issue":"1","issued":{"date-parts":[["2019"]]},"page":"34-42","title":"Pembelajaran IPA Abad 21 dengan Literasi Sains Siswa","type":"article-journal","volume":"9"},"uris":["http://www.mendeley.com/documents/?uuid=a3e09833-9c1f-4625-abed-cf1888b30049"]}],"mendeley":{"formattedCitation":"(DeBoer, 2000; Eisenhart et al., 1996; Pratiwi et al., 2019)","plainTextFormattedCitation":"(DeBoer, 2000; Eisenhart et al., 1996; Pratiwi et al., 2019)"},"properties":{"noteIndex":0},"schema":"https://github.com/citation-style-language/schema/raw/master/csl-citation.json"}</w:instrText>
      </w:r>
      <w:r w:rsidR="00AB7DAB">
        <w:fldChar w:fldCharType="separate"/>
      </w:r>
      <w:r w:rsidR="00AB7DAB" w:rsidRPr="00AB7DAB">
        <w:rPr>
          <w:noProof/>
        </w:rPr>
        <w:t>(DeBoer, 2000; Eisenhart et al., 1996; Pratiwi et al., 2019)</w:t>
      </w:r>
      <w:r w:rsidR="00AB7DAB">
        <w:fldChar w:fldCharType="end"/>
      </w:r>
      <w:r w:rsidR="0070701B">
        <w:t xml:space="preserve">. </w:t>
      </w:r>
      <w:r w:rsidR="00E8457E" w:rsidRPr="0069718E">
        <w:t xml:space="preserve"> </w:t>
      </w:r>
      <w:r w:rsidR="00245A87">
        <w:t xml:space="preserve">Konsep kunci literasi sains menjadi titik berat bahwa pendidikan Abad 21 bukan hanya menuntut peserta didik untuk </w:t>
      </w:r>
      <w:r w:rsidR="00966247">
        <w:t>bisa</w:t>
      </w:r>
      <w:r w:rsidR="00245A87">
        <w:t xml:space="preserve"> menghafal dan menerima banyak hal, namun pendidikan abad 21 menuntut  agar peserta didik menyiapkan komunikasi, kolaborasi, berpikir kritis, dan kreatif </w:t>
      </w:r>
      <w:r w:rsidR="00E66B43">
        <w:fldChar w:fldCharType="begin" w:fldLock="1"/>
      </w:r>
      <w:r w:rsidR="00E66B43">
        <w:instrText>ADDIN CSL_CITATION {"citationItems":[{"id":"ITEM-1","itemData":{"abstract":"In the 21st century, the development of science and technology in various countries increased rapidly. In response to this development, people are required to adapt in various aspects. One of them is the aspect of education that is very important for the progress of a country. In the aspect of education there are goals that directly affect the lives of students in making decisions based on information and their understanding, also called science literacy term. In Indonesia it is still low in achieving student science literacy. Good science literacy level can improve the quality of education so that it can compete with other countries in the era of globalization. With the new curriculum, the 2013 curriculum is expected to improve the quality of education in Indonesia. In the 2013 curriculum, scientific literacy is evident through scientific inquiry activities. Schools that have implemented the 2013 curriculum mean that only applying learning oriented to science literacy, have not been applied to the student evaluation stage. In a learning process will not be separated from the evaluation stage, while one of the tools used in the evaluation phase is a test. Scientific literacy evaluation instruments already exist and can be adopted from international research such as PISA, but the results of Indonesian students' science literacy in international studies apply generally. The method used in this paper is the study of literature. The results of the thinking in this paper is an evaluation instrument to measure the science literacy in the form of test questions. The purpose of this paper is: (1) To explain more about 21st century science lesson. (2) To explain more about the students' science literacy. (3) To explain more about science-based literacy evaluation tests.","author":[{"dropping-particle":"","family":"Pratiwi","given":"S N","non-dropping-particle":"","parse-names":false,"suffix":""},{"dropping-particle":"","family":"Cari","given":"C","non-dropping-particle":"","parse-names":false,"suffix":""},{"dropping-particle":"","family":"Aminah","given":"N S","non-dropping-particle":"","parse-names":false,"suffix":""}],"container-title":"Jurnal Materi dan Pembelajaran Fisika (JMPF)","id":"ITEM-1","issue":"1","issued":{"date-parts":[["2019"]]},"page":"34-42","title":"Pembelajaran IPA Abad 21 dengan Literasi Sains Siswa","type":"article-journal","volume":"9"},"uris":["http://www.mendeley.com/documents/?uuid=a3e09833-9c1f-4625-abed-cf1888b30049"]},{"id":"ITEM-2","itemData":{"DOI":"10.1109/i-society18435.2011.5978460","ISBN":"9780956426383","abstract":"As companies expand their businesses to the international marketplace, they will rely on their employees to have skills in using web-based information and communication technologies (ICTs) for collaboration. To simulate this global environment in the classroom, the authors created a six-week project in which first-year introductory technology students from Bentley University in the United States and fourth-year multimedia students from \"Politehnica\" University of Timisoara, Romania, used a number of ICTs during a semester project to evaluate two similar online collaboration tools. In doing so, they were able to develop several 21st Century Skills for Digital Literacy as identified by Jenkins. Students created blog posts, videos, and collaborative documents to chronicle their learning, shared their results within ViCaDiS, an online learning environment. © 2011 IEEE.","author":[{"dropping-particle":"","family":"Frydenberg","given":"Mark","non-dropping-particle":"","parse-names":false,"suffix":""},{"dropping-particle":"","family":"Andone","given":"Diana","non-dropping-particle":"","parse-names":false,"suffix":""}],"container-title":"International Conference on Information Society, i-Society 2011","id":"ITEM-2","issued":{"date-parts":[["2011"]]},"page":"314-318","publisher":"IEEE","title":"Learning for 21 st Century Skills","type":"article-journal"},"uris":["http://www.mendeley.com/documents/?uuid=7aadbc24-40d8-4553-a1db-1a1d8cc1efb4"]}],"mendeley":{"formattedCitation":"(Frydenberg &amp; Andone, 2011; Pratiwi et al., 2019)","plainTextFormattedCitation":"(Frydenberg &amp; Andone, 2011; Pratiwi et al., 2019)","previouslyFormattedCitation":"(Frydenberg &amp; Andone, 2011; Pratiwi et al., 2019)"},"properties":{"noteIndex":0},"schema":"https://github.com/citation-style-language/schema/raw/master/csl-citation.json"}</w:instrText>
      </w:r>
      <w:r w:rsidR="00E66B43">
        <w:fldChar w:fldCharType="separate"/>
      </w:r>
      <w:r w:rsidR="00E66B43" w:rsidRPr="00E66B43">
        <w:rPr>
          <w:noProof/>
        </w:rPr>
        <w:t>(Frydenberg &amp; Andone, 2011; Pratiwi et al., 2019)</w:t>
      </w:r>
      <w:r w:rsidR="00E66B43">
        <w:fldChar w:fldCharType="end"/>
      </w:r>
      <w:r w:rsidR="00245A87">
        <w:t xml:space="preserve">. Uraian tersebut jelas bahwa literasi sains penting bagi siswa untuk memahami lingkungan, kesehatan, social, modern, dan teknologi agar siswa memiliki kompetensi dan keterampilan untuk dapat meletakkan sains bukan hanya tataran konsep namun juga menjadikan sains sebagai tataran prinsip hidup dengan menjadikan sains sebagai sikap ilmiah, serta dapat menerapkan sains sebagai pemecahan masalah dalam kehidupan yang nyata dengan masyarakat yang berliterasi sains </w:t>
      </w:r>
      <w:r w:rsidR="00E66B43">
        <w:fldChar w:fldCharType="begin" w:fldLock="1"/>
      </w:r>
      <w:r w:rsidR="00E66B43">
        <w:instrText>ADDIN CSL_CITATION {"citationItems":[{"id":"ITEM-1","itemData":{"DOI":"10.1021/ed066p157","ISSN":"00219584","author":[{"dropping-particle":"","family":"Bond","given":"Douglas","non-dropping-particle":"","parse-names":false,"suffix":""}],"container-title":"Journal of Chemical Education","id":"ITEM-1","issue":"2","issued":{"date-parts":[["1989"]]},"page":"157-160","title":"In pursuit of chemical literacy: A place for chemical reactions","type":"article-journal","volume":"66"},"uris":["http://www.mendeley.com/documents/?uuid=c37e143c-c1e6-4b06-9dbc-48746354c524"]},{"id":"ITEM-2","itemData":{"DOI":"10.1002/1098-2736(200008)37:6&lt;582::AID-TEA5&gt;3.0.CO;2-L","ISSN":"00224308","abstract":"Scientific literacy is a term that has been used since the late 1950s to describe a desired familiarity with science on the part of the general public. A review of the history of science education shows that there have been at least nine separate and distinct goals of science education that are related to the larger goal of scientific literacy. It is argued in this paper that instead of defining scientific literacy in terms of specifically prescribed learning outcomes, scientific literacy should be conceptualized broadly enough for local school districts and individual classroom teachers to pursue the goals that are most suitable for their particular situations along with the content and methodologies that are most appropriate for them and their students. This would do more to enhance the public's understanding and appreciation of science than will current efforts that are too narrowly aimed at increasing scores on international tests of science knowledge. A broad and open-ended approach to scientific literacy would free teachers and students to develop a wide variety of innovative responses to the call for an increased understanding of science for all. © 2000 John Wiley &amp; Sons, Inc.","author":[{"dropping-particle":"","family":"DeBoer","given":"George E.","non-dropping-particle":"","parse-names":false,"suffix":""}],"container-title":"Journal of Research in Science Teaching","id":"ITEM-2","issue":"6","issued":{"date-parts":[["2000"]]},"page":"582-601","title":"Scientific literacy: Another look at its historical and contemporary meanings and its relationship to science education reform","type":"article-journal","volume":"37"},"uris":["http://www.mendeley.com/documents/?uuid=b6c14216-20fe-4b16-8cbb-8b4597d321fd"]},{"id":"ITEM-3","itemData":{"ISSN":"13063065","abstract":"This paper sets out to provide an overview of scientific literacy specifically related to whether emphasis is placed on the 'science' or the 'literacy' aspect, accepting that literacy, wherever used, is wider than simply reading and writing. It does this from a general rather than a country perspective. The emphasis in giving meaning to scientific literacy is placed on the literacy component in recognition of the trend towards relating scientific literacy to skills and values appropriate for a responsible citizen. Rejected is a consideration that scientific literacy is related to an emphasis on the acquisition of content and this is especially considered, noting the social bias and cultural embedding of science. The emphasis on enhancing scientific literacy is placed on an appreciation of the nature of science, the development of personal attributes and the acquisition of socioscientific skills and values. Furthermore, in teaching towards this view of scientific literacy, a key component is seen as relevance and a model of relevance for science teaching is put forward based on relevance being seen from two perspectives. Relevance from both perspectives is very much geared to the view that scientific literacy is best taught by seeing science education as 'education through science' as opposed to 'science through education.' © 2009 IJESE.","author":[{"dropping-particle":"","family":"Holbrook","given":"Jack","non-dropping-particle":"","parse-names":false,"suffix":""},{"dropping-particle":"","family":"Rannikmae","given":"Miia","non-dropping-particle":"","parse-names":false,"suffix":""}],"container-title":"International Journal of Environmental and Science Education","id":"ITEM-3","issue":"3","issued":{"date-parts":[["2009"]]},"page":"275-288","title":"The meaning of scientific literacy","type":"article-journal","volume":"4"},"uris":["http://www.mendeley.com/documents/?uuid=ff82e00f-9f8a-4028-a1cb-42e1e3b21123"]},{"id":"ITEM-4","itemData":{"ISSN":"16483898","abstract":"This study describes a research focused on science teachers’ evaluation of natural science literacy of research and comprehension competence in their students. Natural science literacy of research and comprehension competence is defined as an essential part of science literacy-as a competence to find, evaluate and use science knowledge stored on the Internet (as a part of extended memory) to solve a problem in a science class and to construct students’ own science knowledge. Online science literacy was defined in terms of the following aspects: basic skills (which include computer basics, web searching basics, and general navigation basics), locating information, finding a suitable website, locating the information on the website, critically evaluating the information according to its reliability and according to its relevance for the science class assessment. The data were collected through a 53-item Likert-scale questionnaire. The items were adopted from the TICA questionnaire for assessing students’ general online reading competence. Science teachers from 5 different levels of pre-university education assessed their students’ online science literacy in order to evaluate their students’ competence to use the Internet as a storage and as a source of knowledge for teaching/learning process in the science class, to re-evaluate their online teaching practice and the need for implementation of natural science literacy of research and comprehension competence in their science curriculum.","author":[{"dropping-particle":"","family":"Aberšek","given":"Metka Kordigel","non-dropping-particle":"","parse-names":false,"suffix":""},{"dropping-particle":"","family":"Dolenc","given":"Kosta","non-dropping-particle":"","parse-names":false,"suffix":""},{"dropping-particle":"","family":"Flogie","given":"Andrej","non-dropping-particle":"","parse-names":false,"suffix":""},{"dropping-particle":"","family":"Koritnik","given":"Ana","non-dropping-particle":"","parse-names":false,"suffix":""}],"container-title":"Journal of Baltic Science Education","id":"ITEM-4","issue":"4","issued":{"date-parts":[["2015"]]},"page":"460-473","title":"New natural science literacies of online research and comprehension: To teach or not to teach","type":"article-journal","volume":"14"},"uris":["http://www.mendeley.com/documents/?uuid=4a896800-3899-4974-9ac4-54c2f161e138"]}],"mendeley":{"formattedCitation":"(Aberšek et al., 2015; Bond, 1989; DeBoer, 2000; Holbrook &amp; Rannikmae, 2009)","plainTextFormattedCitation":"(Aberšek et al., 2015; Bond, 1989; DeBoer, 2000; Holbrook &amp; Rannikmae, 2009)","previouslyFormattedCitation":"(Aberšek et al., 2015; Bond, 1989; DeBoer, 2000; Holbrook &amp; Rannikmae, 2009)"},"properties":{"noteIndex":0},"schema":"https://github.com/citation-style-language/schema/raw/master/csl-citation.json"}</w:instrText>
      </w:r>
      <w:r w:rsidR="00E66B43">
        <w:fldChar w:fldCharType="separate"/>
      </w:r>
      <w:r w:rsidR="00E66B43" w:rsidRPr="00E66B43">
        <w:rPr>
          <w:noProof/>
        </w:rPr>
        <w:t>(Aberšek et al., 2015; Bond, 1989; DeBoer, 2000; Holbrook &amp; Rannikmae, 2009)</w:t>
      </w:r>
      <w:r w:rsidR="00E66B43">
        <w:fldChar w:fldCharType="end"/>
      </w:r>
      <w:r w:rsidR="00245A87">
        <w:t xml:space="preserve">. </w:t>
      </w:r>
    </w:p>
    <w:p w:rsidR="008042C9" w:rsidRDefault="00966247" w:rsidP="008042C9">
      <w:pPr>
        <w:pStyle w:val="8ParagrafLanjut"/>
        <w:rPr>
          <w:lang w:eastAsia="id-ID"/>
        </w:rPr>
      </w:pPr>
      <w:r>
        <w:rPr>
          <w:i/>
          <w:lang w:eastAsia="id-ID"/>
        </w:rPr>
        <w:t xml:space="preserve">Programe for International Student Assessment </w:t>
      </w:r>
      <w:r>
        <w:rPr>
          <w:lang w:eastAsia="id-ID"/>
        </w:rPr>
        <w:t>(PISA) mengklarifikasi bahwa kemampuan literasi sains peserta didik Indonesia masih di bawah rata-rata skor internasional dan secara umum berada pada tahapan terendah PISA</w:t>
      </w:r>
      <w:sdt>
        <w:sdtPr>
          <w:rPr>
            <w:lang w:eastAsia="id-ID"/>
          </w:rPr>
          <w:id w:val="-1410068134"/>
          <w:citation/>
        </w:sdtPr>
        <w:sdtContent>
          <w:r w:rsidR="00CD6409">
            <w:rPr>
              <w:lang w:eastAsia="id-ID"/>
            </w:rPr>
            <w:fldChar w:fldCharType="begin"/>
          </w:r>
          <w:r w:rsidR="00CD6409">
            <w:rPr>
              <w:lang w:eastAsia="id-ID"/>
            </w:rPr>
            <w:instrText xml:space="preserve"> CITATION Toh11 \l 1033 </w:instrText>
          </w:r>
          <w:r w:rsidR="00CD6409">
            <w:rPr>
              <w:lang w:eastAsia="id-ID"/>
            </w:rPr>
            <w:fldChar w:fldCharType="separate"/>
          </w:r>
          <w:r w:rsidR="00CD6409">
            <w:rPr>
              <w:noProof/>
              <w:lang w:eastAsia="id-ID"/>
            </w:rPr>
            <w:t xml:space="preserve"> (Toharuddin, 2011)</w:t>
          </w:r>
          <w:r w:rsidR="00CD6409">
            <w:rPr>
              <w:lang w:eastAsia="id-ID"/>
            </w:rPr>
            <w:fldChar w:fldCharType="end"/>
          </w:r>
        </w:sdtContent>
      </w:sdt>
      <w:r>
        <w:rPr>
          <w:lang w:eastAsia="id-ID"/>
        </w:rPr>
        <w:t xml:space="preserve">. Sebagaimana dikutip dari </w:t>
      </w:r>
      <w:r>
        <w:rPr>
          <w:i/>
          <w:lang w:eastAsia="id-ID"/>
        </w:rPr>
        <w:t xml:space="preserve">The Organization for Economic Co-operation and Development </w:t>
      </w:r>
      <w:r>
        <w:rPr>
          <w:lang w:eastAsia="id-ID"/>
        </w:rPr>
        <w:t xml:space="preserve">(OECD) Tahun 2015 bahwa peringkat Indonesia di PISA berada pada 69 dari 71 negara yang diuji. Hasil tersebut mengindikasikan bahwa kemampuan literasi sains siswa di Indonesia masih berada di bawah rerata angka aman dari pengukuran PISA. Rendahnya literasi sains </w:t>
      </w:r>
      <w:r w:rsidR="00E85B5A">
        <w:rPr>
          <w:lang w:eastAsia="id-ID"/>
        </w:rPr>
        <w:t xml:space="preserve">siswa juga diperkuat dengan hasil observasi yang peneliti lakukan di sebuah SD X di Kota Padang, rendahnya keterbukaan wawasan siswa dalam tindakan membuang sampah semabarangan, menggunakan kran air sebagai sarana bermain dan tidak mematikannya kembali menjadi salah satu hal yang sangat memprihatinkan, sementara harapan yang dinanti adalah lahirnya generasi emas abad 21 yang bukan hanya mahir dalam bidang pengetahuan, namun kaya akan tindakan aplikatif yang menjadikan sains sebagai solusi. </w:t>
      </w:r>
      <w:r w:rsidR="00CC26AA">
        <w:rPr>
          <w:lang w:eastAsia="id-ID"/>
        </w:rPr>
        <w:t xml:space="preserve">Permasalahan tersebut, didukung dengan beberapa hasil penelitian yang menyebutkan bahwa, rendahnya literas sains siswa ditengarai oleh proses pembelajaran </w:t>
      </w:r>
      <w:r w:rsidR="008042C9">
        <w:rPr>
          <w:lang w:eastAsia="id-ID"/>
        </w:rPr>
        <w:t xml:space="preserve">yang belum memberikan peluang bagi peserta didik untuk mengembangkan kemampuan bernalar kritis, masih bercirikan transfer sains buka mengedepankan fakta, konsep, prinsip, dan hukum, tidak dikaitkan dengan konteks kehidupan nyata, serta cenderung hanya mengantisipasi ujian sehingga aspek sains sebagai proses dan sikap benar-benar terabaikan </w:t>
      </w:r>
      <w:r w:rsidR="006F7770">
        <w:rPr>
          <w:lang w:eastAsia="id-ID"/>
        </w:rPr>
        <w:fldChar w:fldCharType="begin" w:fldLock="1"/>
      </w:r>
      <w:r w:rsidR="00AE52AA">
        <w:rPr>
          <w:lang w:eastAsia="id-ID"/>
        </w:rPr>
        <w:instrText>ADDIN CSL_CITATION {"citationItems":[{"id":"ITEM-1","itemData":{"DOI":"10.31949/jcp.v3i2.592","ISSN":"2442-7470","abstract":"ABSTRAK Literasi sains berarti pengetahuan dan pemahaman tentang konsep-konsep ilmiah dan proses yang diperlukan untuk pengambilan keputusan pribadi, partisipasi, dan produktivitas ekonomi. Hal ini sangat penting mempersiapkan bekal keterampilan yang harus dimiliki abad ke 21 ini bagi siswa dari tingkat sekolah dasar sampai perguruan tinggi. Pentingnya literasi sains karena permasalahan berkaitan dengan pengetahuan dan teknologi. Selain itu literasi sains memberdayakan masyarakat untuk membuat keputusan pribadi dan berpartisipasi dalam perumusan kebijakan publik yang berdampak pada kehidupan mereka. Literasi sains dalam pengukurannya terdiri dari 3 dimensi yaitu konten sains, proses sains dan konteks aplikasi sains. Literasi informasi dan teknologi dan pengembangan ilmu pengetahuan dapat memberi pengaruh pada peluang baru dalam strategi dan metode pembelajaran, termasuk pembelajaran sains. Keterampilan literasi sains dan literasi IT dapat dikembangkan untuk meningkatkan pengetahuan dan penyelidikan ilmu pengetahuan Alam, untuk memahami dan berkomunikasi dan meningkatkan hubungan antara sains, teknologi dan masyarakat. Kata kunci: literasi sains, literasi informasi PENDAHULUAN Memasuki abad ke 21 yang semakin pesat perkembangan pengetahuan maupun teknologi tentunya membutuhkan tantangan sendiri, baik dilingkungan pendidikan maupun dunia kerja saat ini. Sehingga perlunya mempersiapkan generasi saat ini memiliki keterampilan baik soft skill maupun hard skill bagi siswa dari tingkat sekolah dasar sampai perguruan tinggi. Menurut Omar, Turiman, Daud dan Kasman, (2011) bahwa \" keterampilan abad ke 21 terdiri dari empat domain utama literasi, berfikir inventif, komunikasi yang efektif dan produktivitas yang tinggi \" . Salah satu keterampilan yang penting untuk meningkatkan pengetahuan dan kemampuan memutuskan masalah adalah literasi sains. Literasi sains sudah banyak dikembangkan dalam dunia pendidikan oleh negara-negara seperti Amerika, Taiwan, Cina, Hong Kong, Australia, Jerman dan Chile (G. Lederman, S. Lederman, Antink, 2013), bahkan negara berkembang seperti Nigeria (Ojimba, 2013). Literasi sains di Indonesia mulai dikenalkan pada tahun 1993 melalui undangan oleh Unesco untuk mengikuti International Forum on Science and Technological Literacy for All di Paris dan realisasinya diselenggarakan Workshop on Scientific and Technological Literacy for All in Asia and Pasific di Tokyo. Literasi sains mulai diakomodasikan dalam kurikulum 2006 (KTSP) dan lebih terl…","author":[{"dropping-particle":"","family":"Yuliati","given":"Yuyu","non-dropping-particle":"","parse-names":false,"suffix":""}],"container-title":"Jurnal Cakrawala Pendas","id":"ITEM-1","issue":"2","issued":{"date-parts":[["2017"]]},"page":"21-28","title":"Literasi Sains Dalam Pembelajaran Ipa","type":"article-journal","volume":"3"},"uris":["http://www.mendeley.com/documents/?uuid=82413f44-7294-4f3c-bd6f-7ca50ea1a15c"]},{"id":"ITEM-2","itemData":{"DOI":"10.1002/sce.10066","ISBN":"9780956426383","ISSN":"13063065","abstract":"This paper draws upon a distinction between fundamental and derived senses of literacy to show that conceptions of scientific literacy attend to the derived sense but tend to neglect the fundamental sense. In doing so, they fail to address a central component of scientific literacy. A notion of literacy in its fundamental sense is elaborated and contrasted to a simple view of reading and writing that still has much influence on literacy instruction in schools and, we believe, is widely assumed in science education. We make suggestions about how scientific literacy would be viewed differently if the fundamental sense of literacy were taken seriously and explore some educational implications of attending to literacy in its fundamental sense when teaching science. © 2003 Wiley Periodicals, Inc.","author":[{"dropping-particle":"","family":"Pertiwi","given":"Utami Dian","non-dropping-particle":"","parse-names":false,"suffix":""},{"dropping-particle":"","family":"Atanti","given":"Rina Dwik","non-dropping-particle":"","parse-names":false,"suffix":""},{"dropping-particle":"","family":"Ismawati","given":"Riva","non-dropping-particle":"","parse-names":false,"suffix":""},{"dropping-particle":"","family":"Aberšek","given":"Metka Kordigel","non-dropping-particle":"","parse-names":false,"suffix":""},{"dropping-particle":"","family":"Dolenc","given":"Kosta","non-dropping-particle":"","parse-names":false,"suffix":""},{"dropping-particle":"","family":"Flogie","given":"Andrej","non-dropping-particle":"","parse-names":false,"suffix":""},{"dropping-particle":"","family":"Koritnik","given":"Ana","non-dropping-particle":"","parse-names":false,"suffix":""},{"dropping-particle":"","family":"Bond","given":"Douglas","non-dropping-particle":"","parse-names":false,"suffix":""},{"dropping-particle":"","family":"DeBoer","given":"George E.","non-dropping-particle":"","parse-names":false,"suffix":""},{"dropping-particle":"","family":"Frydenberg","given":"Mark","non-dropping-particle":"","parse-names":false,"suffix":""},{"dropping-particle":"","family":"Andone","given":"Diana","non-dropping-particle":"","parse-names":false,"suffix":""},{"dropping-particle":"","family":"Journal","given":"International","non-dropping-particle":"","parse-names":false,"suffix":""},{"dropping-particle":"","family":"Vol","given":"Social Science","non-dropping-particle":"","parse-names":false,"suffix":""},{"dropping-particle":"","family":"Utami","given":"Budi","non-dropping-particle":"","parse-names":false,"suffix":""},{"dropping-particle":"","family":"Saputro","given":"Sulistyo","non-dropping-particle":"","parse-names":false,"suffix":""},{"dropping-particle":"","family":"Ashadi","given":"","non-dropping-particle":"","parse-names":false,"suffix":""},{"dropping-particle":"","family":"Masykuri","given":"Mohammad","non-dropping-particle":"","parse-names":false,"suffix":""},{"dropping-particle":"","family":"Dolenc","given":"Kosta","non-dropping-particle":"","parse-names":false,"suffix":""},{"dropping-particle":"","family":"Aberšek","given":"Boris","non-dropping-particle":"","parse-names":false,"suffix":""},{"dropping-particle":"","family":"Aberšek","given":"Metka Kordigel","non-dropping-particle":"","parse-names":false,"suffix":""},{"dropping-particle":"","family":"Norris","given":"Stephen P.","non-dropping-particle":"","parse-names":false,"suffix":""},{"dropping-particle":"","family":"Phillips","given":"Linda M.","non-dropping-particle":"","parse-names":false,"suffix":""},{"dropping-particle":"","family":"Susilastri","given":"Susi Dwi","non-dropping-particle":"","parse-names":false,"suffix":""},{"dropping-particle":"","family":"Rustaman","given":"Nuryani Y","non-dropping-particle":"","parse-names":false,"suffix":""},{"dropping-particle":"","family":"Anastasiadou","given":"Sofia","non-dropping-particle":"","parse-names":false,"suffix":""},{"dropping-particle":"","family":"Liu","given":"Xiufeng","non-dropping-particle":"","parse-names":false,"suffix":""},{"dropping-particle":"","family":"Yuenyong","given":"Chokchai","non-dropping-particle":"","parse-names":false,"suffix":""},{"dropping-particle":"","family":"Narjaikaew","given":"Pattawan","non-dropping-particle":"","parse-names":false,"suffix":""},{"dropping-particle":"","family":"Cakrawala","given":"Jurnal","non-dropping-particle":"","parse-names":false,"suffix":""},{"dropping-particle":"","family":"Vol","given":"Pendas","non-dropping-particle":"","parse-names":false,"suffix":""},{"dropping-particle":"","family":"Juli","given":"Edisi","non-dropping-particle":"","parse-names":false,"suffix":""},{"dropping-particle":"","family":"Pratiwi","given":"S N","non-dropping-particle":"","parse-names":false,"suffix":""},{"dropping-particle":"","family":"Cari","given":"C","non-dropping-particle":"","parse-names":false,"suffix":""},{"dropping-particle":"","family":"Aminah","given":"N S","non-dropping-particle":"","parse-names":false,"suffix":""}],"container-title":"Journal of Baltic Science Education","id":"ITEM-2","issue":"1","issued":{"date-parts":[["2015"]]},"page":"460-473","publisher":"IEEE","title":"Pembelajaran IPA Abad 21 dengan Literasi Sains Siswa","type":"article-journal","volume":"4"},"uris":["http://www.mendeley.com/documents/?uuid=ae0ed70e-31ea-43fb-bfbb-2e05ba025ea9"]},{"id":"ITEM-3","itemData":{"abstract":"This study aims to express students'environmental literacy profile in school-based nature and in school that implement the Adiwiyata program. This research was conducted with descriptive method through an intangibles survey in two schools; school-based nature and Adiwiyata regular school in the city of Bogor. Data Collecting uses the questions of PISA 2006 scientific literacy environment. This questions intend to measure environmental knowledge, the questionnaires and interviews intend to measure attitudes, awareness, responsibility and participation of students to environmental problems. The results showed that the students'level of PISA environmental literacy of school-based nature and in school that implement the Adiwiyata program are still in the level of consciousness, not at the level of behavior. Mastery of knowledge is still low at 35% and the average score of the attitude 54%. The students' awareness is still low because their environmental knowledge is also still low. The learning process that does not exploit the capabilities of students' science process was suspected as one of the causes of students'low achievement of knowledge acquisition environment. Internal and the family environmental factors are also influence the results , as the support of school infrastructure is very strong. 1. PENDAHULUAN Masalah serius yang tengah dihadapi dunia saat ini adalah masalah penurunan kualitas lingkungan hidup yang berimbas pada kualitas hidup penduduk Bumi. Lingkungan alam global menghadapi tekanan yang terus meningkat. Ledakan jumlah penduduk yang terus meningkat merupakan penyebab utama yang berakibat meningkatnya permintaan kebutuhan manusia akan makanan, energi, dan perluasan lahan pemukiman. Permintaan diwujudkan dengan tereduksinya hutan, krisis sumber air bersih, kehilangan keanekaragaman hayati, krisis cadangan energi, polusi udara, polusi air dan polusi tanah. Menipisnya perikanan di dunia, udara yang tidak sehat untuk bernapas, peningkatan produksi gas rumah kaca yang mengakibatkan terjadinya pemanasan global, dan adanya kesenjangan dalam sumber daya keuangan di seluruh dunia (OECD, 2011). Gaya hidup yang konsumtif ikut berpengaruh kuat. Eksploitasi sumber daya alam sudah tidak terkendali untuk memenuhi hasrat dan keinginan hari ini tanpa memikirkan masa depan generasi yang akan datang dengan mengatasnamakan pembangunan. Upaya pemerintah dan masyarakat Indonesia dalam menyelenggarakan pendidikan lingkungan agar generasi baru bangsanya menjad…","author":[{"dropping-particle":"","family":"Susilastri","given":"Susi Dwi","non-dropping-particle":"","parse-names":false,"suffix":""},{"dropping-particle":"","family":"Rustaman","given":"Nuryani Y","non-dropping-particle":"","parse-names":false,"suffix":""}],"id":"ITEM-3","issued":{"date-parts":[["2015"]]},"page":"263-6","title":"Students'environmental Literacy Profile in School-Based Nature and in School that Implement the Adiwiyata Program","type":"article-journal"},"uris":["http://www.mendeley.com/documents/?uuid=ebd3412f-e671-46f6-ae9e-9818f6d6dcac"]}],"mendeley":{"formattedCitation":"(Pertiwi et al., 2015; Susilastri &amp; Rustaman, 2015; Yuliati, 2017)","plainTextFormattedCitation":"(Pertiwi et al., 2015; Susilastri &amp; Rustaman, 2015; Yuliati, 2017)","previouslyFormattedCitation":"(Pertiwi et al., 2015; Susilastri &amp; Rustaman, 2015; Yuliati, 2017)"},"properties":{"noteIndex":0},"schema":"https://github.com/citation-style-language/schema/raw/master/csl-citation.json"}</w:instrText>
      </w:r>
      <w:r w:rsidR="006F7770">
        <w:rPr>
          <w:lang w:eastAsia="id-ID"/>
        </w:rPr>
        <w:fldChar w:fldCharType="separate"/>
      </w:r>
      <w:r w:rsidR="006F7770" w:rsidRPr="006F7770">
        <w:rPr>
          <w:noProof/>
          <w:lang w:eastAsia="id-ID"/>
        </w:rPr>
        <w:t>(Pertiwi et al., 2015; Susilastri &amp; Rustaman, 2015; Yuliati, 2017)</w:t>
      </w:r>
      <w:r w:rsidR="006F7770">
        <w:rPr>
          <w:lang w:eastAsia="id-ID"/>
        </w:rPr>
        <w:fldChar w:fldCharType="end"/>
      </w:r>
    </w:p>
    <w:p w:rsidR="00CC26AA" w:rsidRDefault="008042C9" w:rsidP="008042C9">
      <w:pPr>
        <w:pStyle w:val="8ParagrafLanjut"/>
        <w:rPr>
          <w:lang w:eastAsia="id-ID"/>
        </w:rPr>
      </w:pPr>
      <w:r>
        <w:rPr>
          <w:lang w:eastAsia="id-ID"/>
        </w:rPr>
        <w:t xml:space="preserve">Berbagai pertemuan empiris yang telah dipaparkan sebelumnya merupakan indikasi bahwa sains belum diusahakan menjadikan siswa yang melek akan aplikasi ilmu sains, dan jelas masih berjalan secara konvensional. </w:t>
      </w:r>
      <w:r w:rsidR="00E85B5A">
        <w:rPr>
          <w:lang w:eastAsia="id-ID"/>
        </w:rPr>
        <w:t xml:space="preserve">Bertolak belakangnya kenyataan dan harapan tentu menjadi catatan tersendiri dalam dunia pendidikan. </w:t>
      </w:r>
      <w:r>
        <w:rPr>
          <w:lang w:eastAsia="id-ID"/>
        </w:rPr>
        <w:t xml:space="preserve">Hal tersebut bermakna </w:t>
      </w:r>
      <w:r w:rsidR="00E85B5A">
        <w:rPr>
          <w:lang w:eastAsia="id-ID"/>
        </w:rPr>
        <w:t xml:space="preserve">dunia pendidikan memerlukan langkah khusus pada pola pengajaran dan system sekolah guna membekali siswa kompetensi </w:t>
      </w:r>
      <w:r w:rsidR="00CC26AA">
        <w:rPr>
          <w:lang w:eastAsia="id-ID"/>
        </w:rPr>
        <w:t xml:space="preserve">untuk menghadapi era ada 21. </w:t>
      </w:r>
      <w:r>
        <w:rPr>
          <w:lang w:eastAsia="id-ID"/>
        </w:rPr>
        <w:t xml:space="preserve">Upaya pemerintah dalam meningkatkan kemampuan literasi sains,  yang saat ini menjadi polemic di dunia pendidikan, dan masih kurangnya pembahasan terkait dengan kemampuan literasi sains adalah program Adiwiyata. Adiwiyata sebagai </w:t>
      </w:r>
      <w:r w:rsidR="00CC26AA">
        <w:rPr>
          <w:lang w:eastAsia="id-ID"/>
        </w:rPr>
        <w:t xml:space="preserve">salah satu upaya yang saat ini telah dilakukan pemerintah sebagai program terencana di sekolah guna memberikan pemahaman dan penanaman perilaku serta sikap memberdayakan alam dan lingkunan sedemikian rupa. Salah satu hasil yang diharapkan muncul dari program Adiwiyata adalah memperbanyak siswa yang paham akan pentingnya alam sebagai salah satu kebutuhan yang penting bagi keberlangsungan kehidupan di bumi. </w:t>
      </w:r>
    </w:p>
    <w:p w:rsidR="001C167B" w:rsidRPr="0069718E" w:rsidRDefault="00694577" w:rsidP="00694577">
      <w:pPr>
        <w:pStyle w:val="8ParagrafLanjut"/>
      </w:pPr>
      <w:r>
        <w:rPr>
          <w:lang w:eastAsia="id-ID"/>
        </w:rPr>
        <w:t>Dukungan berbagai fasilitas yang ada di sekolah dengan program Adiwiyata menjaidkan sekolah yang mengadopsi program ini memiliki ke-</w:t>
      </w:r>
      <w:r>
        <w:rPr>
          <w:i/>
          <w:lang w:eastAsia="id-ID"/>
        </w:rPr>
        <w:t>khas-</w:t>
      </w:r>
      <w:r>
        <w:rPr>
          <w:lang w:eastAsia="id-ID"/>
        </w:rPr>
        <w:t>an tersendiri, baik dari segi program, sarana pendukung, serta brbagai fasilitas yang memadai untuk menjadikan siswa memiliki keterbukaan wawasan pemahaman bagi siswa terkait dengan literasi sains adalah keberadaan apotik hidup (TOGA), berbagai slogan pengetahuan sains, serta berbagai jenis lingkungan alam lainnya yang dapat menjadi suber informasi bagi siswa serta menjadi lingkungan yang esensial guna sebagai saranan bermain, belaj</w:t>
      </w:r>
      <w:r w:rsidR="00AE52AA">
        <w:rPr>
          <w:lang w:eastAsia="id-ID"/>
        </w:rPr>
        <w:t>ar dan pengembangan diri siswa</w:t>
      </w:r>
      <w:r>
        <w:rPr>
          <w:lang w:eastAsia="id-ID"/>
        </w:rPr>
        <w:t xml:space="preserve">. Oleh sebab itu, penelitian ini menitik beratkan pada pembahasan kemampuan literasi sains siswa SD di Sekolah Adiwiyata sebagai progam sekolah dengan slogan peduli dan berbudaya lingkungan. Selain itu, penelitian ini diarahkan ada deksripsi kemampuan literasi sains pada tiga aspek yaitu konten, konteks, dan sikap, sehingga peneliti dapat menggambarkan secara keseluruhan kemampuan literasi sains siswa SD di Sekolah Adiwiyata pada tiga aspek literasi sains dengan mengacu pada indicator dari ketiga aspek tersebut. </w:t>
      </w:r>
    </w:p>
    <w:p w:rsidR="00CA7F4C" w:rsidRPr="0069718E" w:rsidRDefault="00C96B08" w:rsidP="001245A4">
      <w:pPr>
        <w:pStyle w:val="Heading1"/>
        <w:rPr>
          <w:lang w:val="id-ID" w:eastAsia="id-ID"/>
        </w:rPr>
      </w:pPr>
      <w:r>
        <w:rPr>
          <w:lang w:val="id-ID" w:eastAsia="id-ID"/>
        </w:rPr>
        <w:t>METODOLOGI</w:t>
      </w:r>
    </w:p>
    <w:p w:rsidR="00054777" w:rsidRDefault="00054777" w:rsidP="00496601">
      <w:pPr>
        <w:pStyle w:val="8ParagrafAwal-FirstParagraph"/>
        <w:ind w:firstLine="709"/>
        <w:rPr>
          <w:lang w:val="en-US"/>
        </w:rPr>
      </w:pPr>
      <w:r>
        <w:rPr>
          <w:lang w:val="en-US"/>
        </w:rPr>
        <w:t xml:space="preserve">Metode penelitian yang digunakan dalam penelitian ini adalah Kuantitatif deskriptif. Metode ini digunakan karena sesuai dengan tujuan penelitian yakni mendeskripsikan secara luas terkait gambaran variable yang diteliti, yakni tentang kemampuan literasi sains siswa pada aspek konten, konteks, dan sikap. Populasi dalam penelitian ini adalah Siswa Kelas V SD X Adiwiyata. Penarikan sampel dilakukan dengan menggunakan teknik </w:t>
      </w:r>
      <w:r>
        <w:rPr>
          <w:i/>
          <w:lang w:val="en-US"/>
        </w:rPr>
        <w:t xml:space="preserve">simple random sampling. </w:t>
      </w:r>
      <w:r>
        <w:rPr>
          <w:lang w:val="en-US"/>
        </w:rPr>
        <w:t xml:space="preserve">Instrument penelitian yang digunakan adalah </w:t>
      </w:r>
      <w:r w:rsidR="00EF0788">
        <w:rPr>
          <w:lang w:val="en-US"/>
        </w:rPr>
        <w:t>s</w:t>
      </w:r>
      <w:r>
        <w:rPr>
          <w:lang w:val="en-US"/>
        </w:rPr>
        <w:t>oal-soal tentang Literasi sains berbasis HOTS untuk aspek konten, lembar observasi dan angket untuk aspek konteks</w:t>
      </w:r>
      <w:r w:rsidR="00AD1228">
        <w:rPr>
          <w:lang w:val="en-US"/>
        </w:rPr>
        <w:t xml:space="preserve"> </w:t>
      </w:r>
      <w:r>
        <w:rPr>
          <w:lang w:val="en-US"/>
        </w:rPr>
        <w:t xml:space="preserve"> dan sikap. </w:t>
      </w:r>
      <w:r w:rsidR="00EF0788">
        <w:rPr>
          <w:lang w:val="en-US"/>
        </w:rPr>
        <w:t xml:space="preserve">Validasi instrument dilakukan dengan </w:t>
      </w:r>
      <w:r w:rsidR="00EF0788">
        <w:rPr>
          <w:i/>
          <w:lang w:val="en-US"/>
        </w:rPr>
        <w:t xml:space="preserve">expert judgement. </w:t>
      </w:r>
      <w:r w:rsidR="00EF0788">
        <w:rPr>
          <w:lang w:val="en-US"/>
        </w:rPr>
        <w:t xml:space="preserve">Data penelitian yang telah dihasilkan di analisis dengan </w:t>
      </w:r>
      <w:r w:rsidR="00EF0788">
        <w:rPr>
          <w:i/>
          <w:lang w:val="en-US"/>
        </w:rPr>
        <w:t xml:space="preserve">statistic descriptive analytic </w:t>
      </w:r>
      <w:r w:rsidR="00EF0788">
        <w:rPr>
          <w:lang w:val="en-US"/>
        </w:rPr>
        <w:t xml:space="preserve">yang kemudian dikategorisasikan dengan </w:t>
      </w:r>
      <w:r w:rsidR="004E6C7B">
        <w:rPr>
          <w:i/>
          <w:lang w:val="en-US"/>
        </w:rPr>
        <w:t xml:space="preserve">norma kategorisasi. </w:t>
      </w:r>
      <w:r w:rsidR="004E6C7B">
        <w:rPr>
          <w:lang w:val="en-US"/>
        </w:rPr>
        <w:t xml:space="preserve">Perhitungan </w:t>
      </w:r>
      <w:r w:rsidR="00362632">
        <w:rPr>
          <w:lang w:val="en-US"/>
        </w:rPr>
        <w:t xml:space="preserve"> </w:t>
      </w:r>
      <w:r w:rsidR="004E6C7B">
        <w:rPr>
          <w:lang w:val="en-US"/>
        </w:rPr>
        <w:t>norma kategorisasi didasarkan pada pendapat Syaifuddin Azwar</w:t>
      </w:r>
      <w:r w:rsidR="00AD1228">
        <w:rPr>
          <w:lang w:val="en-US"/>
        </w:rPr>
        <w:t xml:space="preserve"> (2012)</w:t>
      </w:r>
      <w:r w:rsidR="004E6C7B">
        <w:rPr>
          <w:lang w:val="en-US"/>
        </w:rPr>
        <w:t>, sebagai berikut:</w:t>
      </w:r>
    </w:p>
    <w:p w:rsidR="0080687C" w:rsidRDefault="0080687C" w:rsidP="0080687C">
      <w:pPr>
        <w:pStyle w:val="BodyText"/>
        <w:spacing w:after="0"/>
        <w:ind w:firstLine="0"/>
        <w:jc w:val="center"/>
        <w:rPr>
          <w:lang w:eastAsia="id-ID"/>
        </w:rPr>
      </w:pPr>
      <w:r>
        <w:rPr>
          <w:lang w:eastAsia="id-ID"/>
        </w:rPr>
        <w:t>Tabel 1.</w:t>
      </w:r>
    </w:p>
    <w:p w:rsidR="0080687C" w:rsidRPr="0080687C" w:rsidRDefault="0080687C" w:rsidP="0080687C">
      <w:pPr>
        <w:pStyle w:val="BodyText"/>
        <w:ind w:firstLine="0"/>
        <w:jc w:val="center"/>
        <w:rPr>
          <w:lang w:eastAsia="id-ID"/>
        </w:rPr>
      </w:pPr>
      <w:r>
        <w:rPr>
          <w:lang w:eastAsia="id-ID"/>
        </w:rPr>
        <w:t>Norma Kategorisasi</w:t>
      </w:r>
    </w:p>
    <w:tbl>
      <w:tblPr>
        <w:tblW w:w="7820" w:type="dxa"/>
        <w:tblInd w:w="714"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4049"/>
        <w:gridCol w:w="3771"/>
      </w:tblGrid>
      <w:tr w:rsidR="00AD1228" w:rsidRPr="005B6306" w:rsidTr="000C6980">
        <w:trPr>
          <w:trHeight w:val="255"/>
        </w:trPr>
        <w:tc>
          <w:tcPr>
            <w:tcW w:w="4049" w:type="dxa"/>
            <w:shd w:val="clear" w:color="auto" w:fill="BFBFBF"/>
            <w:hideMark/>
          </w:tcPr>
          <w:p w:rsidR="00AD1228" w:rsidRPr="000C6980" w:rsidRDefault="00AD1228" w:rsidP="00FB0A67">
            <w:pPr>
              <w:pStyle w:val="TableParagraph"/>
              <w:ind w:left="5" w:right="3"/>
              <w:rPr>
                <w:rFonts w:ascii="Garamond" w:hAnsi="Garamond"/>
                <w:b/>
                <w:sz w:val="20"/>
                <w:szCs w:val="20"/>
                <w:lang w:val="id-ID"/>
              </w:rPr>
            </w:pPr>
            <w:r w:rsidRPr="000C6980">
              <w:rPr>
                <w:rFonts w:ascii="Garamond" w:hAnsi="Garamond"/>
                <w:b/>
                <w:sz w:val="20"/>
                <w:szCs w:val="20"/>
                <w:lang w:val="id-ID"/>
              </w:rPr>
              <w:t>Rentang Skor</w:t>
            </w:r>
          </w:p>
        </w:tc>
        <w:tc>
          <w:tcPr>
            <w:tcW w:w="3771" w:type="dxa"/>
            <w:shd w:val="clear" w:color="auto" w:fill="BFBFBF"/>
            <w:hideMark/>
          </w:tcPr>
          <w:p w:rsidR="00AD1228" w:rsidRPr="000C6980" w:rsidRDefault="00AD1228" w:rsidP="00FB0A67">
            <w:pPr>
              <w:pStyle w:val="TableParagraph"/>
              <w:ind w:left="1142" w:right="1140"/>
              <w:rPr>
                <w:rFonts w:ascii="Garamond" w:hAnsi="Garamond"/>
                <w:b/>
                <w:sz w:val="20"/>
                <w:szCs w:val="20"/>
                <w:lang w:val="id-ID"/>
              </w:rPr>
            </w:pPr>
            <w:r w:rsidRPr="000C6980">
              <w:rPr>
                <w:rFonts w:ascii="Garamond" w:hAnsi="Garamond"/>
                <w:b/>
                <w:sz w:val="20"/>
                <w:szCs w:val="20"/>
                <w:lang w:val="id-ID"/>
              </w:rPr>
              <w:t>Kategori</w:t>
            </w:r>
          </w:p>
        </w:tc>
      </w:tr>
      <w:tr w:rsidR="00AD1228" w:rsidRPr="005B6306" w:rsidTr="000C6980">
        <w:trPr>
          <w:trHeight w:val="282"/>
        </w:trPr>
        <w:tc>
          <w:tcPr>
            <w:tcW w:w="4049" w:type="dxa"/>
            <w:hideMark/>
          </w:tcPr>
          <w:p w:rsidR="00AD1228" w:rsidRPr="000C6980" w:rsidRDefault="00AD1228" w:rsidP="00FB0A67">
            <w:pPr>
              <w:pStyle w:val="TableParagraph"/>
              <w:ind w:left="2" w:right="3"/>
              <w:rPr>
                <w:rFonts w:ascii="Garamond" w:hAnsi="Garamond"/>
                <w:sz w:val="20"/>
                <w:szCs w:val="20"/>
                <w:lang w:val="id-ID"/>
              </w:rPr>
            </w:pPr>
            <w:r w:rsidRPr="000C6980">
              <w:rPr>
                <w:rFonts w:ascii="Garamond" w:hAnsi="Garamond"/>
                <w:sz w:val="20"/>
                <w:szCs w:val="20"/>
                <w:lang w:val="id-ID"/>
              </w:rPr>
              <w:t>X &gt;  µ +1σ</w:t>
            </w:r>
            <w:r w:rsidRPr="000C6980">
              <w:rPr>
                <w:rFonts w:ascii="Garamond" w:hAnsi="Garamond"/>
                <w:w w:val="265"/>
                <w:sz w:val="20"/>
                <w:szCs w:val="20"/>
                <w:lang w:val="id-ID"/>
              </w:rPr>
              <w:t xml:space="preserve"> </w:t>
            </w:r>
          </w:p>
        </w:tc>
        <w:tc>
          <w:tcPr>
            <w:tcW w:w="3771" w:type="dxa"/>
            <w:hideMark/>
          </w:tcPr>
          <w:p w:rsidR="00AD1228" w:rsidRPr="000C6980" w:rsidRDefault="00AD1228" w:rsidP="00FB0A67">
            <w:pPr>
              <w:pStyle w:val="TableParagraph"/>
              <w:ind w:left="1145" w:right="1140"/>
              <w:rPr>
                <w:rFonts w:ascii="Garamond" w:hAnsi="Garamond"/>
                <w:sz w:val="20"/>
                <w:szCs w:val="20"/>
                <w:lang w:val="id-ID"/>
              </w:rPr>
            </w:pPr>
            <w:r w:rsidRPr="000C6980">
              <w:rPr>
                <w:rFonts w:ascii="Garamond" w:hAnsi="Garamond"/>
                <w:sz w:val="20"/>
                <w:szCs w:val="20"/>
                <w:lang w:val="id-ID"/>
              </w:rPr>
              <w:t>Tinggi</w:t>
            </w:r>
          </w:p>
        </w:tc>
      </w:tr>
      <w:tr w:rsidR="00AD1228" w:rsidRPr="005B6306" w:rsidTr="000C6980">
        <w:trPr>
          <w:trHeight w:val="300"/>
        </w:trPr>
        <w:tc>
          <w:tcPr>
            <w:tcW w:w="4049" w:type="dxa"/>
            <w:hideMark/>
          </w:tcPr>
          <w:p w:rsidR="00AD1228" w:rsidRPr="000C6980" w:rsidRDefault="00AD1228" w:rsidP="00FB0A67">
            <w:pPr>
              <w:pStyle w:val="TableParagraph"/>
              <w:ind w:right="1"/>
              <w:rPr>
                <w:rFonts w:ascii="Garamond" w:hAnsi="Garamond"/>
                <w:sz w:val="20"/>
                <w:szCs w:val="20"/>
                <w:lang w:val="id-ID"/>
              </w:rPr>
            </w:pPr>
            <w:r w:rsidRPr="000C6980">
              <w:rPr>
                <w:rFonts w:ascii="Garamond" w:hAnsi="Garamond"/>
                <w:w w:val="249"/>
                <w:sz w:val="20"/>
                <w:szCs w:val="20"/>
                <w:lang w:val="id-ID"/>
              </w:rPr>
              <w:t xml:space="preserve"> </w:t>
            </w:r>
            <w:r w:rsidRPr="000C6980">
              <w:rPr>
                <w:rFonts w:ascii="Garamond" w:hAnsi="Garamond"/>
                <w:sz w:val="20"/>
                <w:szCs w:val="20"/>
                <w:lang w:val="id-ID"/>
              </w:rPr>
              <w:t xml:space="preserve">µ &lt; X </w:t>
            </w:r>
            <w:r w:rsidR="000C6980">
              <w:rPr>
                <w:sz w:val="20"/>
                <w:szCs w:val="20"/>
              </w:rPr>
              <w:t>≤</w:t>
            </w:r>
            <w:r w:rsidRPr="000C6980">
              <w:rPr>
                <w:rFonts w:ascii="Garamond" w:hAnsi="Garamond"/>
                <w:sz w:val="20"/>
                <w:szCs w:val="20"/>
                <w:lang w:val="id-ID"/>
              </w:rPr>
              <w:t xml:space="preserve">  µ +1 σ</w:t>
            </w:r>
            <w:r w:rsidRPr="000C6980">
              <w:rPr>
                <w:rFonts w:ascii="Garamond" w:hAnsi="Garamond"/>
                <w:w w:val="265"/>
                <w:sz w:val="20"/>
                <w:szCs w:val="20"/>
                <w:lang w:val="id-ID"/>
              </w:rPr>
              <w:t xml:space="preserve"> </w:t>
            </w:r>
          </w:p>
        </w:tc>
        <w:tc>
          <w:tcPr>
            <w:tcW w:w="3771" w:type="dxa"/>
            <w:hideMark/>
          </w:tcPr>
          <w:p w:rsidR="00AD1228" w:rsidRPr="000C6980" w:rsidRDefault="00AD1228" w:rsidP="00FB0A67">
            <w:pPr>
              <w:pStyle w:val="TableParagraph"/>
              <w:ind w:left="1145" w:right="1140"/>
              <w:rPr>
                <w:rFonts w:ascii="Garamond" w:hAnsi="Garamond"/>
                <w:sz w:val="20"/>
                <w:szCs w:val="20"/>
                <w:lang w:val="id-ID"/>
              </w:rPr>
            </w:pPr>
            <w:r w:rsidRPr="000C6980">
              <w:rPr>
                <w:rFonts w:ascii="Garamond" w:hAnsi="Garamond"/>
                <w:sz w:val="20"/>
                <w:szCs w:val="20"/>
                <w:lang w:val="id-ID"/>
              </w:rPr>
              <w:t>Cukup Tinggi</w:t>
            </w:r>
          </w:p>
        </w:tc>
      </w:tr>
      <w:tr w:rsidR="00AD1228" w:rsidRPr="005B6306" w:rsidTr="000C6980">
        <w:trPr>
          <w:trHeight w:val="291"/>
        </w:trPr>
        <w:tc>
          <w:tcPr>
            <w:tcW w:w="4049" w:type="dxa"/>
            <w:hideMark/>
          </w:tcPr>
          <w:p w:rsidR="00AD1228" w:rsidRPr="000C6980" w:rsidRDefault="00AD1228" w:rsidP="00FB0A67">
            <w:pPr>
              <w:pStyle w:val="TableParagraph"/>
              <w:ind w:right="3"/>
              <w:rPr>
                <w:rFonts w:ascii="Garamond" w:hAnsi="Garamond"/>
                <w:sz w:val="20"/>
                <w:szCs w:val="20"/>
                <w:lang w:val="id-ID"/>
              </w:rPr>
            </w:pPr>
            <w:r w:rsidRPr="000C6980">
              <w:rPr>
                <w:rFonts w:ascii="Garamond" w:hAnsi="Garamond"/>
                <w:sz w:val="20"/>
                <w:szCs w:val="20"/>
                <w:lang w:val="id-ID"/>
              </w:rPr>
              <w:t xml:space="preserve">µ-1 σ &lt; X </w:t>
            </w:r>
            <w:r w:rsidR="000C6980">
              <w:rPr>
                <w:sz w:val="20"/>
                <w:szCs w:val="20"/>
              </w:rPr>
              <w:t>≤</w:t>
            </w:r>
            <w:r w:rsidRPr="000C6980">
              <w:rPr>
                <w:rFonts w:ascii="Garamond" w:hAnsi="Garamond"/>
                <w:sz w:val="20"/>
                <w:szCs w:val="20"/>
                <w:lang w:val="id-ID"/>
              </w:rPr>
              <w:t xml:space="preserve"> µ</w:t>
            </w:r>
          </w:p>
        </w:tc>
        <w:tc>
          <w:tcPr>
            <w:tcW w:w="3771" w:type="dxa"/>
            <w:hideMark/>
          </w:tcPr>
          <w:p w:rsidR="00AD1228" w:rsidRPr="000C6980" w:rsidRDefault="00AD1228" w:rsidP="00FB0A67">
            <w:pPr>
              <w:pStyle w:val="TableParagraph"/>
              <w:ind w:left="1147" w:right="1140"/>
              <w:rPr>
                <w:rFonts w:ascii="Garamond" w:hAnsi="Garamond"/>
                <w:sz w:val="20"/>
                <w:szCs w:val="20"/>
                <w:lang w:val="id-ID"/>
              </w:rPr>
            </w:pPr>
            <w:r w:rsidRPr="000C6980">
              <w:rPr>
                <w:rFonts w:ascii="Garamond" w:hAnsi="Garamond"/>
                <w:sz w:val="20"/>
                <w:szCs w:val="20"/>
                <w:lang w:val="id-ID"/>
              </w:rPr>
              <w:t>Cukup Rendah</w:t>
            </w:r>
          </w:p>
        </w:tc>
      </w:tr>
      <w:tr w:rsidR="00AD1228" w:rsidRPr="005B6306" w:rsidTr="000C6980">
        <w:trPr>
          <w:trHeight w:val="300"/>
        </w:trPr>
        <w:tc>
          <w:tcPr>
            <w:tcW w:w="4049" w:type="dxa"/>
            <w:hideMark/>
          </w:tcPr>
          <w:p w:rsidR="00AD1228" w:rsidRPr="000C6980" w:rsidRDefault="00AD1228" w:rsidP="00FB0A67">
            <w:pPr>
              <w:pStyle w:val="TableParagraph"/>
              <w:ind w:left="2" w:right="3"/>
              <w:rPr>
                <w:rFonts w:ascii="Garamond" w:hAnsi="Garamond"/>
                <w:sz w:val="20"/>
                <w:szCs w:val="20"/>
                <w:lang w:val="id-ID"/>
              </w:rPr>
            </w:pPr>
            <w:r w:rsidRPr="000C6980">
              <w:rPr>
                <w:rFonts w:ascii="Garamond" w:hAnsi="Garamond"/>
                <w:sz w:val="20"/>
                <w:szCs w:val="20"/>
                <w:lang w:val="id-ID"/>
              </w:rPr>
              <w:t xml:space="preserve">X </w:t>
            </w:r>
            <w:r w:rsidR="000C6980">
              <w:rPr>
                <w:sz w:val="20"/>
                <w:szCs w:val="20"/>
              </w:rPr>
              <w:t>≤</w:t>
            </w:r>
            <w:r w:rsidRPr="000C6980">
              <w:rPr>
                <w:rFonts w:ascii="Garamond" w:hAnsi="Garamond"/>
                <w:sz w:val="20"/>
                <w:szCs w:val="20"/>
                <w:lang w:val="id-ID"/>
              </w:rPr>
              <w:t xml:space="preserve">  µ -1σ</w:t>
            </w:r>
          </w:p>
        </w:tc>
        <w:tc>
          <w:tcPr>
            <w:tcW w:w="3771" w:type="dxa"/>
            <w:hideMark/>
          </w:tcPr>
          <w:p w:rsidR="00AD1228" w:rsidRPr="000C6980" w:rsidRDefault="00AD1228" w:rsidP="00FB0A67">
            <w:pPr>
              <w:pStyle w:val="TableParagraph"/>
              <w:ind w:left="1147" w:right="1140"/>
              <w:rPr>
                <w:rFonts w:ascii="Garamond" w:hAnsi="Garamond"/>
                <w:sz w:val="20"/>
                <w:szCs w:val="20"/>
                <w:lang w:val="id-ID"/>
              </w:rPr>
            </w:pPr>
            <w:r w:rsidRPr="000C6980">
              <w:rPr>
                <w:rFonts w:ascii="Garamond" w:hAnsi="Garamond"/>
                <w:sz w:val="20"/>
                <w:szCs w:val="20"/>
                <w:lang w:val="id-ID"/>
              </w:rPr>
              <w:t>Rendah</w:t>
            </w:r>
          </w:p>
        </w:tc>
      </w:tr>
    </w:tbl>
    <w:p w:rsidR="0080687C" w:rsidRDefault="0080687C" w:rsidP="00AD1228">
      <w:pPr>
        <w:pStyle w:val="BodyText"/>
        <w:ind w:firstLine="0"/>
        <w:rPr>
          <w:lang w:eastAsia="id-ID"/>
        </w:rPr>
      </w:pPr>
    </w:p>
    <w:p w:rsidR="00AD1228" w:rsidRDefault="00AD1228" w:rsidP="00AD1228">
      <w:pPr>
        <w:pStyle w:val="BodyText"/>
        <w:ind w:firstLine="0"/>
        <w:rPr>
          <w:lang w:eastAsia="id-ID"/>
        </w:rPr>
      </w:pPr>
      <w:r>
        <w:rPr>
          <w:lang w:eastAsia="id-ID"/>
        </w:rPr>
        <w:t xml:space="preserve">Hasil perhitungan norma kategorisasi berdasarkan </w:t>
      </w:r>
      <w:r w:rsidR="000C6980">
        <w:rPr>
          <w:lang w:eastAsia="id-ID"/>
        </w:rPr>
        <w:t>rumus</w:t>
      </w:r>
      <w:r>
        <w:rPr>
          <w:lang w:eastAsia="id-ID"/>
        </w:rPr>
        <w:t xml:space="preserve"> yang digunakan </w:t>
      </w:r>
      <w:r w:rsidR="000C6980">
        <w:rPr>
          <w:lang w:eastAsia="id-ID"/>
        </w:rPr>
        <w:t>untuk</w:t>
      </w:r>
      <w:r>
        <w:rPr>
          <w:lang w:eastAsia="id-ID"/>
        </w:rPr>
        <w:t xml:space="preserve"> aspek konten dan sikap terlihat pada tabel berikut.</w:t>
      </w:r>
    </w:p>
    <w:p w:rsidR="0080687C" w:rsidRPr="00731397" w:rsidRDefault="0080687C" w:rsidP="0080687C">
      <w:pPr>
        <w:pStyle w:val="Heading1"/>
        <w:spacing w:before="0" w:after="0"/>
        <w:jc w:val="center"/>
        <w:rPr>
          <w:b w:val="0"/>
          <w:lang w:eastAsia="id-ID"/>
        </w:rPr>
      </w:pPr>
      <w:r w:rsidRPr="00731397">
        <w:rPr>
          <w:b w:val="0"/>
          <w:caps w:val="0"/>
          <w:lang w:eastAsia="id-ID"/>
        </w:rPr>
        <w:t>Tabel 2.</w:t>
      </w:r>
    </w:p>
    <w:p w:rsidR="0080687C" w:rsidRPr="00AD1228" w:rsidRDefault="0080687C" w:rsidP="0080687C">
      <w:pPr>
        <w:pStyle w:val="BodyText"/>
        <w:ind w:firstLine="0"/>
        <w:jc w:val="center"/>
        <w:rPr>
          <w:lang w:eastAsia="id-ID"/>
        </w:rPr>
      </w:pPr>
      <w:r>
        <w:rPr>
          <w:lang w:eastAsia="id-ID"/>
        </w:rPr>
        <w:t>Perhitungan Norma Kategorisasi untuk Aspek Sikap dan Konten</w:t>
      </w:r>
    </w:p>
    <w:tbl>
      <w:tblPr>
        <w:tblW w:w="7830" w:type="dxa"/>
        <w:tblInd w:w="720"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4135"/>
        <w:gridCol w:w="3695"/>
      </w:tblGrid>
      <w:tr w:rsidR="004E6C7B" w:rsidRPr="005B6306" w:rsidTr="00AD1228">
        <w:trPr>
          <w:trHeight w:val="255"/>
        </w:trPr>
        <w:tc>
          <w:tcPr>
            <w:tcW w:w="4135" w:type="dxa"/>
            <w:tcBorders>
              <w:bottom w:val="nil"/>
            </w:tcBorders>
            <w:shd w:val="clear" w:color="auto" w:fill="BFBFBF"/>
            <w:hideMark/>
          </w:tcPr>
          <w:p w:rsidR="004E6C7B" w:rsidRPr="00AD1228" w:rsidRDefault="004E6C7B" w:rsidP="00FB0A67">
            <w:pPr>
              <w:pStyle w:val="TableParagraph"/>
              <w:ind w:left="5" w:right="3"/>
              <w:rPr>
                <w:rFonts w:ascii="Garamond" w:hAnsi="Garamond"/>
                <w:b/>
                <w:sz w:val="20"/>
                <w:szCs w:val="20"/>
              </w:rPr>
            </w:pPr>
            <w:r w:rsidRPr="00AD1228">
              <w:rPr>
                <w:rFonts w:ascii="Garamond" w:hAnsi="Garamond"/>
                <w:b/>
                <w:sz w:val="20"/>
                <w:szCs w:val="20"/>
                <w:lang w:val="id-ID"/>
              </w:rPr>
              <w:t>Rentang Skor Aspek Konten</w:t>
            </w:r>
          </w:p>
        </w:tc>
        <w:tc>
          <w:tcPr>
            <w:tcW w:w="3695" w:type="dxa"/>
            <w:tcBorders>
              <w:bottom w:val="nil"/>
            </w:tcBorders>
            <w:shd w:val="clear" w:color="auto" w:fill="BFBFBF"/>
            <w:hideMark/>
          </w:tcPr>
          <w:p w:rsidR="004E6C7B" w:rsidRPr="00AD1228" w:rsidRDefault="004E6C7B" w:rsidP="00FB0A67">
            <w:pPr>
              <w:pStyle w:val="TableParagraph"/>
              <w:ind w:left="1142" w:right="1140"/>
              <w:rPr>
                <w:rFonts w:ascii="Garamond" w:hAnsi="Garamond"/>
                <w:b/>
                <w:sz w:val="20"/>
                <w:szCs w:val="20"/>
                <w:lang w:val="id-ID"/>
              </w:rPr>
            </w:pPr>
            <w:r w:rsidRPr="00AD1228">
              <w:rPr>
                <w:rFonts w:ascii="Garamond" w:hAnsi="Garamond"/>
                <w:b/>
                <w:sz w:val="20"/>
                <w:szCs w:val="20"/>
                <w:lang w:val="id-ID"/>
              </w:rPr>
              <w:t>Kategori</w:t>
            </w:r>
          </w:p>
        </w:tc>
      </w:tr>
      <w:tr w:rsidR="004E6C7B" w:rsidRPr="005B6306" w:rsidTr="00AD1228">
        <w:trPr>
          <w:trHeight w:val="202"/>
        </w:trPr>
        <w:tc>
          <w:tcPr>
            <w:tcW w:w="4135" w:type="dxa"/>
            <w:tcBorders>
              <w:top w:val="nil"/>
              <w:bottom w:val="single" w:sz="4" w:space="0" w:color="auto"/>
            </w:tcBorders>
            <w:hideMark/>
          </w:tcPr>
          <w:p w:rsidR="004E6C7B" w:rsidRPr="00AD1228" w:rsidRDefault="004E6C7B" w:rsidP="00FB0A67">
            <w:pPr>
              <w:pStyle w:val="TableParagraph"/>
              <w:ind w:left="2" w:right="3"/>
              <w:rPr>
                <w:rFonts w:ascii="Garamond" w:hAnsi="Garamond"/>
                <w:sz w:val="20"/>
                <w:szCs w:val="20"/>
                <w:lang w:val="id-ID"/>
              </w:rPr>
            </w:pPr>
            <w:r w:rsidRPr="00AD1228">
              <w:rPr>
                <w:rFonts w:ascii="Garamond" w:hAnsi="Garamond"/>
                <w:sz w:val="20"/>
                <w:szCs w:val="20"/>
                <w:lang w:val="id-ID"/>
              </w:rPr>
              <w:t xml:space="preserve">X &gt;  </w:t>
            </w:r>
            <w:r w:rsidRPr="00AD1228">
              <w:rPr>
                <w:rFonts w:ascii="Garamond" w:hAnsi="Garamond"/>
                <w:sz w:val="20"/>
                <w:szCs w:val="20"/>
              </w:rPr>
              <w:t>30,3</w:t>
            </w:r>
            <w:r w:rsidRPr="00AD1228">
              <w:rPr>
                <w:rFonts w:ascii="Garamond" w:hAnsi="Garamond"/>
                <w:w w:val="265"/>
                <w:sz w:val="20"/>
                <w:szCs w:val="20"/>
                <w:lang w:val="id-ID"/>
              </w:rPr>
              <w:t xml:space="preserve"> </w:t>
            </w:r>
          </w:p>
        </w:tc>
        <w:tc>
          <w:tcPr>
            <w:tcW w:w="3695" w:type="dxa"/>
            <w:tcBorders>
              <w:top w:val="nil"/>
              <w:bottom w:val="single" w:sz="4" w:space="0" w:color="auto"/>
            </w:tcBorders>
            <w:hideMark/>
          </w:tcPr>
          <w:p w:rsidR="004E6C7B" w:rsidRPr="00AD1228" w:rsidRDefault="004E6C7B" w:rsidP="00FB0A67">
            <w:pPr>
              <w:pStyle w:val="TableParagraph"/>
              <w:ind w:left="1145" w:right="1140"/>
              <w:rPr>
                <w:rFonts w:ascii="Garamond" w:hAnsi="Garamond"/>
                <w:sz w:val="20"/>
                <w:szCs w:val="20"/>
                <w:lang w:val="id-ID"/>
              </w:rPr>
            </w:pPr>
            <w:r w:rsidRPr="00AD1228">
              <w:rPr>
                <w:rFonts w:ascii="Garamond" w:hAnsi="Garamond"/>
                <w:sz w:val="20"/>
                <w:szCs w:val="20"/>
                <w:lang w:val="id-ID"/>
              </w:rPr>
              <w:t>Tinggi</w:t>
            </w:r>
          </w:p>
        </w:tc>
      </w:tr>
      <w:tr w:rsidR="004E6C7B" w:rsidRPr="005B6306" w:rsidTr="00AD1228">
        <w:trPr>
          <w:trHeight w:val="264"/>
        </w:trPr>
        <w:tc>
          <w:tcPr>
            <w:tcW w:w="4135" w:type="dxa"/>
            <w:tcBorders>
              <w:top w:val="single" w:sz="4" w:space="0" w:color="auto"/>
              <w:bottom w:val="single" w:sz="4" w:space="0" w:color="auto"/>
            </w:tcBorders>
            <w:hideMark/>
          </w:tcPr>
          <w:p w:rsidR="004E6C7B" w:rsidRPr="00AD1228" w:rsidRDefault="004E6C7B" w:rsidP="00AD1228">
            <w:pPr>
              <w:pStyle w:val="TableParagraph"/>
              <w:ind w:right="1"/>
              <w:rPr>
                <w:rFonts w:ascii="Garamond" w:hAnsi="Garamond"/>
                <w:sz w:val="20"/>
                <w:szCs w:val="20"/>
                <w:lang w:val="id-ID"/>
              </w:rPr>
            </w:pPr>
            <w:r w:rsidRPr="00AD1228">
              <w:rPr>
                <w:rFonts w:ascii="Garamond" w:hAnsi="Garamond"/>
                <w:w w:val="249"/>
                <w:sz w:val="20"/>
                <w:szCs w:val="20"/>
                <w:lang w:val="id-ID"/>
              </w:rPr>
              <w:t xml:space="preserve"> </w:t>
            </w:r>
            <w:r w:rsidRPr="00AD1228">
              <w:rPr>
                <w:rFonts w:ascii="Garamond" w:hAnsi="Garamond"/>
                <w:sz w:val="20"/>
                <w:szCs w:val="20"/>
                <w:lang w:val="id-ID"/>
              </w:rPr>
              <w:t xml:space="preserve">26 &lt; X </w:t>
            </w:r>
            <w:r w:rsidR="00AD1228">
              <w:rPr>
                <w:sz w:val="20"/>
                <w:szCs w:val="20"/>
              </w:rPr>
              <w:t>≤</w:t>
            </w:r>
            <w:r w:rsidRPr="00AD1228">
              <w:rPr>
                <w:rFonts w:ascii="Garamond" w:hAnsi="Garamond"/>
                <w:sz w:val="20"/>
                <w:szCs w:val="20"/>
                <w:lang w:val="id-ID"/>
              </w:rPr>
              <w:t xml:space="preserve"> </w:t>
            </w:r>
            <w:r w:rsidRPr="00AD1228">
              <w:rPr>
                <w:rFonts w:ascii="Garamond" w:hAnsi="Garamond"/>
                <w:sz w:val="20"/>
                <w:szCs w:val="20"/>
              </w:rPr>
              <w:t>30,3</w:t>
            </w:r>
            <w:r w:rsidRPr="00AD1228">
              <w:rPr>
                <w:rFonts w:ascii="Garamond" w:hAnsi="Garamond"/>
                <w:w w:val="265"/>
                <w:sz w:val="20"/>
                <w:szCs w:val="20"/>
                <w:lang w:val="id-ID"/>
              </w:rPr>
              <w:t xml:space="preserve"> </w:t>
            </w:r>
          </w:p>
        </w:tc>
        <w:tc>
          <w:tcPr>
            <w:tcW w:w="3695" w:type="dxa"/>
            <w:tcBorders>
              <w:top w:val="single" w:sz="4" w:space="0" w:color="auto"/>
              <w:bottom w:val="single" w:sz="4" w:space="0" w:color="auto"/>
            </w:tcBorders>
            <w:hideMark/>
          </w:tcPr>
          <w:p w:rsidR="004E6C7B" w:rsidRPr="00AD1228" w:rsidRDefault="004E6C7B" w:rsidP="00FB0A67">
            <w:pPr>
              <w:pStyle w:val="TableParagraph"/>
              <w:ind w:left="1145" w:right="1140"/>
              <w:rPr>
                <w:rFonts w:ascii="Garamond" w:hAnsi="Garamond"/>
                <w:sz w:val="20"/>
                <w:szCs w:val="20"/>
                <w:lang w:val="id-ID"/>
              </w:rPr>
            </w:pPr>
            <w:r w:rsidRPr="00AD1228">
              <w:rPr>
                <w:rFonts w:ascii="Garamond" w:hAnsi="Garamond"/>
                <w:sz w:val="20"/>
                <w:szCs w:val="20"/>
                <w:lang w:val="id-ID"/>
              </w:rPr>
              <w:t>Cukup Tinggi</w:t>
            </w:r>
          </w:p>
        </w:tc>
      </w:tr>
      <w:tr w:rsidR="004E6C7B" w:rsidRPr="005B6306" w:rsidTr="00AD1228">
        <w:trPr>
          <w:trHeight w:val="255"/>
        </w:trPr>
        <w:tc>
          <w:tcPr>
            <w:tcW w:w="4135" w:type="dxa"/>
            <w:tcBorders>
              <w:top w:val="single" w:sz="4" w:space="0" w:color="auto"/>
              <w:bottom w:val="single" w:sz="4" w:space="0" w:color="auto"/>
            </w:tcBorders>
            <w:hideMark/>
          </w:tcPr>
          <w:p w:rsidR="004E6C7B" w:rsidRPr="00AD1228" w:rsidRDefault="004E6C7B" w:rsidP="00AD1228">
            <w:pPr>
              <w:pStyle w:val="TableParagraph"/>
              <w:ind w:right="3"/>
              <w:rPr>
                <w:rFonts w:ascii="Garamond" w:hAnsi="Garamond"/>
                <w:sz w:val="20"/>
                <w:szCs w:val="20"/>
                <w:lang w:val="id-ID"/>
              </w:rPr>
            </w:pPr>
            <w:r w:rsidRPr="00AD1228">
              <w:rPr>
                <w:rFonts w:ascii="Garamond" w:hAnsi="Garamond"/>
                <w:sz w:val="20"/>
                <w:szCs w:val="20"/>
              </w:rPr>
              <w:t>21,7</w:t>
            </w:r>
            <w:r w:rsidRPr="00AD1228">
              <w:rPr>
                <w:rFonts w:ascii="Garamond" w:hAnsi="Garamond"/>
                <w:sz w:val="20"/>
                <w:szCs w:val="20"/>
                <w:lang w:val="id-ID"/>
              </w:rPr>
              <w:t xml:space="preserve"> &lt; X </w:t>
            </w:r>
            <w:r w:rsidR="00AD1228">
              <w:rPr>
                <w:sz w:val="20"/>
                <w:szCs w:val="20"/>
              </w:rPr>
              <w:t>≤</w:t>
            </w:r>
            <w:r w:rsidRPr="00AD1228">
              <w:rPr>
                <w:rFonts w:ascii="Garamond" w:hAnsi="Garamond"/>
                <w:sz w:val="20"/>
                <w:szCs w:val="20"/>
                <w:lang w:val="id-ID"/>
              </w:rPr>
              <w:t xml:space="preserve"> 26</w:t>
            </w:r>
          </w:p>
        </w:tc>
        <w:tc>
          <w:tcPr>
            <w:tcW w:w="3695" w:type="dxa"/>
            <w:tcBorders>
              <w:top w:val="single" w:sz="4" w:space="0" w:color="auto"/>
              <w:bottom w:val="single" w:sz="4" w:space="0" w:color="auto"/>
            </w:tcBorders>
            <w:hideMark/>
          </w:tcPr>
          <w:p w:rsidR="004E6C7B" w:rsidRPr="00AD1228" w:rsidRDefault="004E6C7B" w:rsidP="00FB0A67">
            <w:pPr>
              <w:pStyle w:val="TableParagraph"/>
              <w:ind w:left="1147" w:right="1140"/>
              <w:rPr>
                <w:rFonts w:ascii="Garamond" w:hAnsi="Garamond"/>
                <w:sz w:val="20"/>
                <w:szCs w:val="20"/>
                <w:lang w:val="id-ID"/>
              </w:rPr>
            </w:pPr>
            <w:r w:rsidRPr="00AD1228">
              <w:rPr>
                <w:rFonts w:ascii="Garamond" w:hAnsi="Garamond"/>
                <w:sz w:val="20"/>
                <w:szCs w:val="20"/>
                <w:lang w:val="id-ID"/>
              </w:rPr>
              <w:t>Cukup Rendah</w:t>
            </w:r>
          </w:p>
        </w:tc>
      </w:tr>
      <w:tr w:rsidR="004E6C7B" w:rsidRPr="005B6306" w:rsidTr="00AD1228">
        <w:trPr>
          <w:trHeight w:val="273"/>
        </w:trPr>
        <w:tc>
          <w:tcPr>
            <w:tcW w:w="4135" w:type="dxa"/>
            <w:tcBorders>
              <w:top w:val="single" w:sz="4" w:space="0" w:color="auto"/>
              <w:bottom w:val="nil"/>
            </w:tcBorders>
            <w:hideMark/>
          </w:tcPr>
          <w:p w:rsidR="004E6C7B" w:rsidRPr="00AD1228" w:rsidRDefault="004E6C7B" w:rsidP="00FB0A67">
            <w:pPr>
              <w:pStyle w:val="TableParagraph"/>
              <w:ind w:left="2" w:right="3"/>
              <w:rPr>
                <w:rFonts w:ascii="Garamond" w:hAnsi="Garamond"/>
                <w:sz w:val="20"/>
                <w:szCs w:val="20"/>
                <w:lang w:val="id-ID"/>
              </w:rPr>
            </w:pPr>
            <w:r w:rsidRPr="00AD1228">
              <w:rPr>
                <w:rFonts w:ascii="Garamond" w:hAnsi="Garamond"/>
                <w:sz w:val="20"/>
                <w:szCs w:val="20"/>
                <w:lang w:val="id-ID"/>
              </w:rPr>
              <w:t xml:space="preserve">X </w:t>
            </w:r>
            <w:r w:rsidR="00AD1228">
              <w:rPr>
                <w:sz w:val="20"/>
                <w:szCs w:val="20"/>
              </w:rPr>
              <w:t>≤</w:t>
            </w:r>
            <w:r w:rsidRPr="00AD1228">
              <w:rPr>
                <w:rFonts w:ascii="Garamond" w:hAnsi="Garamond"/>
                <w:sz w:val="20"/>
                <w:szCs w:val="20"/>
                <w:lang w:val="id-ID"/>
              </w:rPr>
              <w:t xml:space="preserve"> 21,7</w:t>
            </w:r>
          </w:p>
        </w:tc>
        <w:tc>
          <w:tcPr>
            <w:tcW w:w="3695" w:type="dxa"/>
            <w:tcBorders>
              <w:top w:val="single" w:sz="4" w:space="0" w:color="auto"/>
              <w:bottom w:val="nil"/>
            </w:tcBorders>
            <w:hideMark/>
          </w:tcPr>
          <w:p w:rsidR="004E6C7B" w:rsidRPr="00AD1228" w:rsidRDefault="004E6C7B" w:rsidP="00FB0A67">
            <w:pPr>
              <w:pStyle w:val="TableParagraph"/>
              <w:ind w:left="1147" w:right="1140"/>
              <w:rPr>
                <w:rFonts w:ascii="Garamond" w:hAnsi="Garamond"/>
                <w:sz w:val="20"/>
                <w:szCs w:val="20"/>
                <w:lang w:val="id-ID"/>
              </w:rPr>
            </w:pPr>
            <w:r w:rsidRPr="00AD1228">
              <w:rPr>
                <w:rFonts w:ascii="Garamond" w:hAnsi="Garamond"/>
                <w:sz w:val="20"/>
                <w:szCs w:val="20"/>
                <w:lang w:val="id-ID"/>
              </w:rPr>
              <w:t>Rendah</w:t>
            </w:r>
          </w:p>
        </w:tc>
      </w:tr>
      <w:tr w:rsidR="004E6C7B" w:rsidRPr="005B6306" w:rsidTr="00AD1228">
        <w:trPr>
          <w:trHeight w:val="211"/>
        </w:trPr>
        <w:tc>
          <w:tcPr>
            <w:tcW w:w="4135" w:type="dxa"/>
            <w:tcBorders>
              <w:top w:val="nil"/>
              <w:bottom w:val="nil"/>
            </w:tcBorders>
            <w:shd w:val="clear" w:color="auto" w:fill="BFBFBF"/>
          </w:tcPr>
          <w:p w:rsidR="004E6C7B" w:rsidRPr="00AD1228" w:rsidRDefault="004E6C7B" w:rsidP="00FB0A67">
            <w:pPr>
              <w:pStyle w:val="TableParagraph"/>
              <w:ind w:left="2" w:right="3"/>
              <w:rPr>
                <w:rFonts w:ascii="Garamond" w:hAnsi="Garamond"/>
                <w:b/>
                <w:sz w:val="20"/>
                <w:szCs w:val="20"/>
              </w:rPr>
            </w:pPr>
            <w:r w:rsidRPr="00AD1228">
              <w:rPr>
                <w:rFonts w:ascii="Garamond" w:hAnsi="Garamond"/>
                <w:b/>
                <w:sz w:val="20"/>
                <w:szCs w:val="20"/>
              </w:rPr>
              <w:t xml:space="preserve">Rentang Skor Aspek Sikap </w:t>
            </w:r>
          </w:p>
        </w:tc>
        <w:tc>
          <w:tcPr>
            <w:tcW w:w="3695" w:type="dxa"/>
            <w:tcBorders>
              <w:top w:val="nil"/>
              <w:bottom w:val="nil"/>
            </w:tcBorders>
            <w:shd w:val="clear" w:color="auto" w:fill="BFBFBF"/>
          </w:tcPr>
          <w:p w:rsidR="004E6C7B" w:rsidRPr="00AD1228" w:rsidRDefault="004E6C7B" w:rsidP="00FB0A67">
            <w:pPr>
              <w:pStyle w:val="TableParagraph"/>
              <w:ind w:left="1147" w:right="1140"/>
              <w:rPr>
                <w:rFonts w:ascii="Garamond" w:hAnsi="Garamond"/>
                <w:b/>
                <w:sz w:val="20"/>
                <w:szCs w:val="20"/>
              </w:rPr>
            </w:pPr>
            <w:r w:rsidRPr="00AD1228">
              <w:rPr>
                <w:rFonts w:ascii="Garamond" w:hAnsi="Garamond"/>
                <w:b/>
                <w:sz w:val="20"/>
                <w:szCs w:val="20"/>
              </w:rPr>
              <w:t xml:space="preserve">Kategori </w:t>
            </w:r>
          </w:p>
        </w:tc>
      </w:tr>
      <w:tr w:rsidR="004E6C7B" w:rsidRPr="005B6306" w:rsidTr="00AD1228">
        <w:trPr>
          <w:trHeight w:val="175"/>
        </w:trPr>
        <w:tc>
          <w:tcPr>
            <w:tcW w:w="4135" w:type="dxa"/>
            <w:tcBorders>
              <w:top w:val="nil"/>
              <w:bottom w:val="single" w:sz="4" w:space="0" w:color="auto"/>
            </w:tcBorders>
          </w:tcPr>
          <w:p w:rsidR="004E6C7B" w:rsidRPr="00AD1228" w:rsidRDefault="004E6C7B" w:rsidP="00FB0A67">
            <w:pPr>
              <w:pStyle w:val="TableParagraph"/>
              <w:ind w:left="2" w:right="3"/>
              <w:rPr>
                <w:rFonts w:ascii="Garamond" w:hAnsi="Garamond"/>
                <w:sz w:val="20"/>
                <w:szCs w:val="20"/>
                <w:lang w:val="id-ID"/>
              </w:rPr>
            </w:pPr>
            <w:r w:rsidRPr="00AD1228">
              <w:rPr>
                <w:rFonts w:ascii="Garamond" w:hAnsi="Garamond"/>
                <w:sz w:val="20"/>
                <w:szCs w:val="20"/>
                <w:lang w:val="id-ID"/>
              </w:rPr>
              <w:t xml:space="preserve">X &gt;  </w:t>
            </w:r>
            <w:r w:rsidRPr="00AD1228">
              <w:rPr>
                <w:rFonts w:ascii="Garamond" w:hAnsi="Garamond"/>
                <w:sz w:val="20"/>
                <w:szCs w:val="20"/>
              </w:rPr>
              <w:t>53,6</w:t>
            </w:r>
            <w:r w:rsidRPr="00AD1228">
              <w:rPr>
                <w:rFonts w:ascii="Garamond" w:hAnsi="Garamond"/>
                <w:w w:val="265"/>
                <w:sz w:val="20"/>
                <w:szCs w:val="20"/>
                <w:lang w:val="id-ID"/>
              </w:rPr>
              <w:t xml:space="preserve"> </w:t>
            </w:r>
          </w:p>
        </w:tc>
        <w:tc>
          <w:tcPr>
            <w:tcW w:w="3695" w:type="dxa"/>
            <w:tcBorders>
              <w:top w:val="nil"/>
              <w:bottom w:val="single" w:sz="4" w:space="0" w:color="auto"/>
            </w:tcBorders>
          </w:tcPr>
          <w:p w:rsidR="004E6C7B" w:rsidRPr="00AD1228" w:rsidRDefault="004E6C7B" w:rsidP="00FB0A67">
            <w:pPr>
              <w:pStyle w:val="TableParagraph"/>
              <w:ind w:left="1145" w:right="1140"/>
              <w:rPr>
                <w:rFonts w:ascii="Garamond" w:hAnsi="Garamond"/>
                <w:sz w:val="20"/>
                <w:szCs w:val="20"/>
                <w:lang w:val="id-ID"/>
              </w:rPr>
            </w:pPr>
            <w:r w:rsidRPr="00AD1228">
              <w:rPr>
                <w:rFonts w:ascii="Garamond" w:hAnsi="Garamond"/>
                <w:sz w:val="20"/>
                <w:szCs w:val="20"/>
                <w:lang w:val="id-ID"/>
              </w:rPr>
              <w:t>Tinggi</w:t>
            </w:r>
          </w:p>
        </w:tc>
      </w:tr>
      <w:tr w:rsidR="004E6C7B" w:rsidRPr="005B6306" w:rsidTr="00AD1228">
        <w:trPr>
          <w:trHeight w:val="210"/>
        </w:trPr>
        <w:tc>
          <w:tcPr>
            <w:tcW w:w="4135" w:type="dxa"/>
            <w:tcBorders>
              <w:top w:val="single" w:sz="4" w:space="0" w:color="auto"/>
              <w:bottom w:val="single" w:sz="4" w:space="0" w:color="auto"/>
            </w:tcBorders>
          </w:tcPr>
          <w:p w:rsidR="004E6C7B" w:rsidRPr="00AD1228" w:rsidRDefault="004E6C7B" w:rsidP="00FB0A67">
            <w:pPr>
              <w:pStyle w:val="TableParagraph"/>
              <w:ind w:right="1"/>
              <w:rPr>
                <w:rFonts w:ascii="Garamond" w:hAnsi="Garamond"/>
                <w:sz w:val="20"/>
                <w:szCs w:val="20"/>
                <w:lang w:val="id-ID"/>
              </w:rPr>
            </w:pPr>
            <w:r w:rsidRPr="00AD1228">
              <w:rPr>
                <w:rFonts w:ascii="Garamond" w:hAnsi="Garamond"/>
                <w:w w:val="249"/>
                <w:sz w:val="20"/>
                <w:szCs w:val="20"/>
                <w:lang w:val="id-ID"/>
              </w:rPr>
              <w:t xml:space="preserve"> </w:t>
            </w:r>
            <w:r w:rsidRPr="00AD1228">
              <w:rPr>
                <w:rFonts w:ascii="Garamond" w:hAnsi="Garamond"/>
                <w:sz w:val="20"/>
                <w:szCs w:val="20"/>
                <w:lang w:val="id-ID"/>
              </w:rPr>
              <w:t xml:space="preserve">46 &lt; X </w:t>
            </w:r>
            <w:r w:rsidR="00AD1228">
              <w:rPr>
                <w:sz w:val="20"/>
                <w:szCs w:val="20"/>
              </w:rPr>
              <w:t>≤</w:t>
            </w:r>
            <w:r w:rsidRPr="00AD1228">
              <w:rPr>
                <w:rFonts w:ascii="Garamond" w:hAnsi="Garamond"/>
                <w:sz w:val="20"/>
                <w:szCs w:val="20"/>
                <w:lang w:val="id-ID"/>
              </w:rPr>
              <w:t xml:space="preserve">  </w:t>
            </w:r>
            <w:r w:rsidRPr="00AD1228">
              <w:rPr>
                <w:rFonts w:ascii="Garamond" w:hAnsi="Garamond"/>
                <w:sz w:val="20"/>
                <w:szCs w:val="20"/>
              </w:rPr>
              <w:t>53,6</w:t>
            </w:r>
            <w:r w:rsidRPr="00AD1228">
              <w:rPr>
                <w:rFonts w:ascii="Garamond" w:hAnsi="Garamond"/>
                <w:w w:val="265"/>
                <w:sz w:val="20"/>
                <w:szCs w:val="20"/>
                <w:lang w:val="id-ID"/>
              </w:rPr>
              <w:t xml:space="preserve"> </w:t>
            </w:r>
          </w:p>
        </w:tc>
        <w:tc>
          <w:tcPr>
            <w:tcW w:w="3695" w:type="dxa"/>
            <w:tcBorders>
              <w:top w:val="single" w:sz="4" w:space="0" w:color="auto"/>
              <w:bottom w:val="single" w:sz="4" w:space="0" w:color="auto"/>
            </w:tcBorders>
          </w:tcPr>
          <w:p w:rsidR="004E6C7B" w:rsidRPr="00AD1228" w:rsidRDefault="004E6C7B" w:rsidP="00FB0A67">
            <w:pPr>
              <w:pStyle w:val="TableParagraph"/>
              <w:ind w:left="1145" w:right="1140"/>
              <w:rPr>
                <w:rFonts w:ascii="Garamond" w:hAnsi="Garamond"/>
                <w:sz w:val="20"/>
                <w:szCs w:val="20"/>
                <w:lang w:val="id-ID"/>
              </w:rPr>
            </w:pPr>
            <w:r w:rsidRPr="00AD1228">
              <w:rPr>
                <w:rFonts w:ascii="Garamond" w:hAnsi="Garamond"/>
                <w:sz w:val="20"/>
                <w:szCs w:val="20"/>
                <w:lang w:val="id-ID"/>
              </w:rPr>
              <w:t>Cukup Tinggi</w:t>
            </w:r>
          </w:p>
        </w:tc>
      </w:tr>
      <w:tr w:rsidR="004E6C7B" w:rsidRPr="005B6306" w:rsidTr="00AD1228">
        <w:trPr>
          <w:trHeight w:val="246"/>
        </w:trPr>
        <w:tc>
          <w:tcPr>
            <w:tcW w:w="4135" w:type="dxa"/>
            <w:tcBorders>
              <w:top w:val="single" w:sz="4" w:space="0" w:color="auto"/>
              <w:bottom w:val="single" w:sz="4" w:space="0" w:color="auto"/>
            </w:tcBorders>
          </w:tcPr>
          <w:p w:rsidR="004E6C7B" w:rsidRPr="00AD1228" w:rsidRDefault="004E6C7B" w:rsidP="00FB0A67">
            <w:pPr>
              <w:pStyle w:val="TableParagraph"/>
              <w:ind w:right="3"/>
              <w:rPr>
                <w:rFonts w:ascii="Garamond" w:hAnsi="Garamond"/>
                <w:sz w:val="20"/>
                <w:szCs w:val="20"/>
                <w:lang w:val="id-ID"/>
              </w:rPr>
            </w:pPr>
            <w:r w:rsidRPr="00AD1228">
              <w:rPr>
                <w:rFonts w:ascii="Garamond" w:hAnsi="Garamond"/>
                <w:sz w:val="20"/>
                <w:szCs w:val="20"/>
              </w:rPr>
              <w:t>38,4</w:t>
            </w:r>
            <w:r w:rsidRPr="00AD1228">
              <w:rPr>
                <w:rFonts w:ascii="Garamond" w:hAnsi="Garamond"/>
                <w:sz w:val="20"/>
                <w:szCs w:val="20"/>
                <w:lang w:val="id-ID"/>
              </w:rPr>
              <w:t xml:space="preserve"> &lt; X </w:t>
            </w:r>
            <w:r w:rsidR="00AD1228">
              <w:rPr>
                <w:sz w:val="20"/>
                <w:szCs w:val="20"/>
              </w:rPr>
              <w:t xml:space="preserve">≤ </w:t>
            </w:r>
            <w:r w:rsidRPr="00AD1228">
              <w:rPr>
                <w:rFonts w:ascii="Garamond" w:hAnsi="Garamond"/>
                <w:sz w:val="20"/>
                <w:szCs w:val="20"/>
                <w:lang w:val="id-ID"/>
              </w:rPr>
              <w:t>46</w:t>
            </w:r>
          </w:p>
        </w:tc>
        <w:tc>
          <w:tcPr>
            <w:tcW w:w="3695" w:type="dxa"/>
            <w:tcBorders>
              <w:top w:val="single" w:sz="4" w:space="0" w:color="auto"/>
              <w:bottom w:val="single" w:sz="4" w:space="0" w:color="auto"/>
            </w:tcBorders>
          </w:tcPr>
          <w:p w:rsidR="004E6C7B" w:rsidRPr="00AD1228" w:rsidRDefault="004E6C7B" w:rsidP="00FB0A67">
            <w:pPr>
              <w:pStyle w:val="TableParagraph"/>
              <w:ind w:left="1147" w:right="1140"/>
              <w:rPr>
                <w:rFonts w:ascii="Garamond" w:hAnsi="Garamond"/>
                <w:sz w:val="20"/>
                <w:szCs w:val="20"/>
                <w:lang w:val="id-ID"/>
              </w:rPr>
            </w:pPr>
            <w:r w:rsidRPr="00AD1228">
              <w:rPr>
                <w:rFonts w:ascii="Garamond" w:hAnsi="Garamond"/>
                <w:sz w:val="20"/>
                <w:szCs w:val="20"/>
                <w:lang w:val="id-ID"/>
              </w:rPr>
              <w:t>Cukup Rendah</w:t>
            </w:r>
          </w:p>
        </w:tc>
      </w:tr>
      <w:tr w:rsidR="004E6C7B" w:rsidRPr="005B6306" w:rsidTr="00AD1228">
        <w:trPr>
          <w:trHeight w:val="174"/>
        </w:trPr>
        <w:tc>
          <w:tcPr>
            <w:tcW w:w="4135" w:type="dxa"/>
            <w:tcBorders>
              <w:top w:val="single" w:sz="4" w:space="0" w:color="auto"/>
              <w:bottom w:val="single" w:sz="4" w:space="0" w:color="auto"/>
            </w:tcBorders>
          </w:tcPr>
          <w:p w:rsidR="004E6C7B" w:rsidRPr="00AD1228" w:rsidRDefault="004E6C7B" w:rsidP="00FB0A67">
            <w:pPr>
              <w:pStyle w:val="TableParagraph"/>
              <w:ind w:left="2" w:right="3"/>
              <w:rPr>
                <w:rFonts w:ascii="Garamond" w:hAnsi="Garamond"/>
                <w:sz w:val="20"/>
                <w:szCs w:val="20"/>
                <w:lang w:val="id-ID"/>
              </w:rPr>
            </w:pPr>
            <w:r w:rsidRPr="00AD1228">
              <w:rPr>
                <w:rFonts w:ascii="Garamond" w:hAnsi="Garamond"/>
                <w:sz w:val="20"/>
                <w:szCs w:val="20"/>
                <w:lang w:val="id-ID"/>
              </w:rPr>
              <w:t xml:space="preserve">X </w:t>
            </w:r>
            <w:r w:rsidR="00AD1228">
              <w:rPr>
                <w:sz w:val="20"/>
                <w:szCs w:val="20"/>
              </w:rPr>
              <w:t>≤</w:t>
            </w:r>
            <w:r w:rsidRPr="00AD1228">
              <w:rPr>
                <w:rFonts w:ascii="Garamond" w:hAnsi="Garamond"/>
                <w:sz w:val="20"/>
                <w:szCs w:val="20"/>
                <w:lang w:val="id-ID"/>
              </w:rPr>
              <w:t xml:space="preserve"> 38,4</w:t>
            </w:r>
          </w:p>
        </w:tc>
        <w:tc>
          <w:tcPr>
            <w:tcW w:w="3695" w:type="dxa"/>
            <w:tcBorders>
              <w:top w:val="single" w:sz="4" w:space="0" w:color="auto"/>
              <w:bottom w:val="single" w:sz="4" w:space="0" w:color="auto"/>
            </w:tcBorders>
          </w:tcPr>
          <w:p w:rsidR="004E6C7B" w:rsidRPr="00AD1228" w:rsidRDefault="004E6C7B" w:rsidP="00FB0A67">
            <w:pPr>
              <w:pStyle w:val="TableParagraph"/>
              <w:ind w:left="1147" w:right="1140"/>
              <w:rPr>
                <w:rFonts w:ascii="Garamond" w:hAnsi="Garamond"/>
                <w:sz w:val="20"/>
                <w:szCs w:val="20"/>
                <w:lang w:val="id-ID"/>
              </w:rPr>
            </w:pPr>
            <w:r w:rsidRPr="00AD1228">
              <w:rPr>
                <w:rFonts w:ascii="Garamond" w:hAnsi="Garamond"/>
                <w:sz w:val="20"/>
                <w:szCs w:val="20"/>
                <w:lang w:val="id-ID"/>
              </w:rPr>
              <w:t>Rendah</w:t>
            </w:r>
          </w:p>
        </w:tc>
      </w:tr>
    </w:tbl>
    <w:p w:rsidR="00731397" w:rsidRPr="00731397" w:rsidRDefault="00731397" w:rsidP="0080687C">
      <w:pPr>
        <w:ind w:firstLine="0"/>
        <w:rPr>
          <w:lang w:eastAsia="id-ID"/>
        </w:rPr>
      </w:pPr>
    </w:p>
    <w:p w:rsidR="00DC36B5" w:rsidRDefault="00DC36B5" w:rsidP="001245A4">
      <w:pPr>
        <w:pStyle w:val="Heading1"/>
        <w:rPr>
          <w:lang w:val="id-ID" w:eastAsia="id-ID"/>
        </w:rPr>
      </w:pPr>
    </w:p>
    <w:p w:rsidR="00CA7F4C" w:rsidRDefault="00C96B08" w:rsidP="001245A4">
      <w:pPr>
        <w:pStyle w:val="Heading1"/>
        <w:rPr>
          <w:lang w:val="id-ID" w:eastAsia="id-ID"/>
        </w:rPr>
      </w:pPr>
      <w:r>
        <w:rPr>
          <w:lang w:val="id-ID" w:eastAsia="id-ID"/>
        </w:rPr>
        <w:t>TEMUAN</w:t>
      </w:r>
      <w:r w:rsidR="00FB5337">
        <w:rPr>
          <w:lang w:val="id-ID" w:eastAsia="id-ID"/>
        </w:rPr>
        <w:t xml:space="preserve"> dan pembahasan</w:t>
      </w:r>
    </w:p>
    <w:p w:rsidR="00FB63D2" w:rsidRPr="00731397" w:rsidRDefault="00FB63D2" w:rsidP="00FB63D2">
      <w:pPr>
        <w:ind w:firstLine="0"/>
        <w:rPr>
          <w:b/>
          <w:lang w:eastAsia="id-ID"/>
        </w:rPr>
      </w:pPr>
      <w:r w:rsidRPr="00731397">
        <w:rPr>
          <w:b/>
          <w:lang w:eastAsia="id-ID"/>
        </w:rPr>
        <w:t>Kemampuan Literasi Sains Siswa SD di Sekolah Adiwiyata pada Aspek Konteks</w:t>
      </w:r>
    </w:p>
    <w:p w:rsidR="003F7ED6" w:rsidRDefault="00FB63D2" w:rsidP="00496601">
      <w:pPr>
        <w:pStyle w:val="8ParagrafAwal-FirstParagraph"/>
        <w:ind w:firstLine="709"/>
        <w:rPr>
          <w:lang w:val="en-US"/>
        </w:rPr>
      </w:pPr>
      <w:r>
        <w:rPr>
          <w:lang w:val="en-US"/>
        </w:rPr>
        <w:t>Aspek Konteks literasi sains merupakan topic khusus yang membahas tentang pengetahuan pemecahan masalah yang berkaitan dengan kehidupan sehari-hari. Berdasarkan hasil tes yang dilakukan pada lima topic pembahasan, diperoleh hasil kemampuan literasi sains siswa SD di Sekolah Adiwiyata pada aspek kontes, terlihat pada rekapitulasi tabel di bawah ini</w:t>
      </w:r>
      <w:r w:rsidR="003F7ED6">
        <w:rPr>
          <w:lang w:val="en-US"/>
        </w:rPr>
        <w:t>.</w:t>
      </w:r>
    </w:p>
    <w:p w:rsidR="00731397" w:rsidRDefault="00731397" w:rsidP="00731397">
      <w:pPr>
        <w:pStyle w:val="8ParagrafAwal-FirstParagraph"/>
        <w:spacing w:after="0"/>
        <w:ind w:firstLine="630"/>
        <w:jc w:val="center"/>
        <w:rPr>
          <w:lang w:val="en-US"/>
        </w:rPr>
      </w:pPr>
      <w:r>
        <w:rPr>
          <w:lang w:val="en-US"/>
        </w:rPr>
        <w:t>Tabel 3.</w:t>
      </w:r>
    </w:p>
    <w:p w:rsidR="00731397" w:rsidRPr="00731397" w:rsidRDefault="00731397" w:rsidP="00731397">
      <w:pPr>
        <w:pStyle w:val="BodyText"/>
        <w:jc w:val="center"/>
        <w:rPr>
          <w:lang w:eastAsia="id-ID"/>
        </w:rPr>
      </w:pPr>
      <w:r>
        <w:rPr>
          <w:lang w:eastAsia="id-ID"/>
        </w:rPr>
        <w:t>Tabulasi Penyelesaian Soal Literasi Sains</w:t>
      </w:r>
    </w:p>
    <w:tbl>
      <w:tblPr>
        <w:tblStyle w:val="PlainTable2"/>
        <w:tblW w:w="0" w:type="auto"/>
        <w:jc w:val="center"/>
        <w:tblLook w:val="04A0" w:firstRow="1" w:lastRow="0" w:firstColumn="1" w:lastColumn="0" w:noHBand="0" w:noVBand="1"/>
      </w:tblPr>
      <w:tblGrid>
        <w:gridCol w:w="2610"/>
        <w:gridCol w:w="1076"/>
        <w:gridCol w:w="850"/>
        <w:gridCol w:w="709"/>
        <w:gridCol w:w="850"/>
        <w:gridCol w:w="851"/>
        <w:gridCol w:w="850"/>
      </w:tblGrid>
      <w:tr w:rsidR="003F7ED6" w:rsidRPr="00211C77" w:rsidTr="003F7ED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10" w:type="dxa"/>
          </w:tcPr>
          <w:p w:rsidR="003F7ED6" w:rsidRPr="00211C77" w:rsidRDefault="003F7ED6" w:rsidP="003F7ED6">
            <w:pPr>
              <w:pStyle w:val="ListParagraph"/>
              <w:numPr>
                <w:ilvl w:val="0"/>
                <w:numId w:val="0"/>
              </w:numPr>
              <w:rPr>
                <w:rFonts w:ascii="Times New Roman" w:hAnsi="Times New Roman"/>
                <w:b w:val="0"/>
                <w:bCs w:val="0"/>
                <w:color w:val="000000"/>
                <w:sz w:val="20"/>
                <w:szCs w:val="20"/>
              </w:rPr>
            </w:pPr>
            <w:r>
              <w:rPr>
                <w:rFonts w:ascii="Times New Roman" w:hAnsi="Times New Roman"/>
                <w:b w:val="0"/>
                <w:bCs w:val="0"/>
                <w:color w:val="000000"/>
                <w:sz w:val="20"/>
                <w:szCs w:val="20"/>
              </w:rPr>
              <w:t>Topik Konteks</w:t>
            </w:r>
          </w:p>
        </w:tc>
        <w:tc>
          <w:tcPr>
            <w:tcW w:w="1076" w:type="dxa"/>
          </w:tcPr>
          <w:p w:rsidR="003F7ED6" w:rsidRPr="00211C77" w:rsidRDefault="003F7ED6" w:rsidP="003F7ED6">
            <w:pPr>
              <w:pStyle w:val="ListParagraph"/>
              <w:numPr>
                <w:ilvl w:val="0"/>
                <w:numId w:val="0"/>
              </w:num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rPr>
            </w:pPr>
            <w:r w:rsidRPr="00211C77">
              <w:rPr>
                <w:rFonts w:ascii="Times New Roman" w:hAnsi="Times New Roman"/>
                <w:b w:val="0"/>
                <w:bCs w:val="0"/>
                <w:color w:val="000000"/>
                <w:sz w:val="20"/>
                <w:szCs w:val="20"/>
              </w:rPr>
              <w:t>Soal</w:t>
            </w:r>
          </w:p>
        </w:tc>
        <w:tc>
          <w:tcPr>
            <w:tcW w:w="850" w:type="dxa"/>
          </w:tcPr>
          <w:p w:rsidR="003F7ED6" w:rsidRPr="00211C77" w:rsidRDefault="003F7ED6" w:rsidP="003F7ED6">
            <w:pPr>
              <w:pStyle w:val="ListParagraph"/>
              <w:numPr>
                <w:ilvl w:val="0"/>
                <w:numId w:val="0"/>
              </w:num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rPr>
            </w:pPr>
            <w:r w:rsidRPr="00211C77">
              <w:rPr>
                <w:rFonts w:ascii="Times New Roman" w:hAnsi="Times New Roman"/>
                <w:b w:val="0"/>
                <w:bCs w:val="0"/>
                <w:color w:val="000000"/>
                <w:sz w:val="20"/>
                <w:szCs w:val="20"/>
              </w:rPr>
              <w:t>Benar</w:t>
            </w:r>
          </w:p>
        </w:tc>
        <w:tc>
          <w:tcPr>
            <w:tcW w:w="709" w:type="dxa"/>
          </w:tcPr>
          <w:p w:rsidR="003F7ED6" w:rsidRPr="00211C77" w:rsidRDefault="003F7ED6" w:rsidP="003F7ED6">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rPr>
            </w:pPr>
            <w:r w:rsidRPr="00211C77">
              <w:rPr>
                <w:rFonts w:ascii="Times New Roman" w:hAnsi="Times New Roman"/>
                <w:b w:val="0"/>
                <w:bCs w:val="0"/>
                <w:color w:val="000000"/>
                <w:sz w:val="20"/>
                <w:szCs w:val="20"/>
              </w:rPr>
              <w:t>%</w:t>
            </w:r>
          </w:p>
        </w:tc>
        <w:tc>
          <w:tcPr>
            <w:tcW w:w="850" w:type="dxa"/>
          </w:tcPr>
          <w:p w:rsidR="003F7ED6" w:rsidRPr="00211C77" w:rsidRDefault="003F7ED6" w:rsidP="003F7ED6">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rPr>
            </w:pPr>
            <w:r w:rsidRPr="00211C77">
              <w:rPr>
                <w:rFonts w:ascii="Times New Roman" w:hAnsi="Times New Roman"/>
                <w:b w:val="0"/>
                <w:bCs w:val="0"/>
                <w:color w:val="000000"/>
                <w:sz w:val="20"/>
                <w:szCs w:val="20"/>
              </w:rPr>
              <w:t>Salah</w:t>
            </w:r>
          </w:p>
        </w:tc>
        <w:tc>
          <w:tcPr>
            <w:tcW w:w="851" w:type="dxa"/>
          </w:tcPr>
          <w:p w:rsidR="003F7ED6" w:rsidRPr="00211C77" w:rsidRDefault="003F7ED6" w:rsidP="003F7ED6">
            <w:pPr>
              <w:pStyle w:val="ListParagraph"/>
              <w:numPr>
                <w:ilvl w:val="0"/>
                <w:numId w:val="0"/>
              </w:num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rPr>
            </w:pPr>
            <w:r w:rsidRPr="00211C77">
              <w:rPr>
                <w:rFonts w:ascii="Times New Roman" w:hAnsi="Times New Roman"/>
                <w:b w:val="0"/>
                <w:bCs w:val="0"/>
                <w:color w:val="000000"/>
                <w:sz w:val="20"/>
                <w:szCs w:val="20"/>
              </w:rPr>
              <w:t>%</w:t>
            </w:r>
          </w:p>
        </w:tc>
        <w:tc>
          <w:tcPr>
            <w:tcW w:w="850" w:type="dxa"/>
          </w:tcPr>
          <w:p w:rsidR="003F7ED6" w:rsidRPr="00211C77" w:rsidRDefault="003F7ED6" w:rsidP="003F7ED6">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sz w:val="20"/>
                <w:szCs w:val="20"/>
              </w:rPr>
            </w:pPr>
            <w:r w:rsidRPr="00211C77">
              <w:rPr>
                <w:rFonts w:ascii="Times New Roman" w:hAnsi="Times New Roman"/>
                <w:b w:val="0"/>
                <w:bCs w:val="0"/>
                <w:color w:val="000000"/>
                <w:sz w:val="20"/>
                <w:szCs w:val="20"/>
              </w:rPr>
              <w:t>Total</w:t>
            </w:r>
          </w:p>
        </w:tc>
      </w:tr>
      <w:tr w:rsidR="003F7ED6" w:rsidRPr="00211C77" w:rsidTr="003F7E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10" w:type="dxa"/>
            <w:vMerge w:val="restart"/>
          </w:tcPr>
          <w:p w:rsidR="003F7ED6" w:rsidRPr="003F7ED6" w:rsidRDefault="003F7ED6" w:rsidP="00FB0A67">
            <w:pPr>
              <w:pStyle w:val="ListParagraph"/>
              <w:ind w:left="0"/>
              <w:rPr>
                <w:rFonts w:ascii="Times New Roman" w:hAnsi="Times New Roman"/>
                <w:b w:val="0"/>
                <w:bCs w:val="0"/>
                <w:color w:val="000000"/>
                <w:sz w:val="20"/>
                <w:szCs w:val="20"/>
              </w:rPr>
            </w:pPr>
            <w:r w:rsidRPr="003F7ED6">
              <w:rPr>
                <w:rFonts w:ascii="Times New Roman" w:hAnsi="Times New Roman"/>
                <w:b w:val="0"/>
                <w:bCs w:val="0"/>
                <w:color w:val="000000"/>
                <w:sz w:val="20"/>
                <w:szCs w:val="20"/>
              </w:rPr>
              <w:t xml:space="preserve">Kupu – kupu dan Petani </w:t>
            </w:r>
          </w:p>
        </w:tc>
        <w:tc>
          <w:tcPr>
            <w:tcW w:w="1076" w:type="dxa"/>
          </w:tcPr>
          <w:p w:rsidR="003F7ED6" w:rsidRPr="00211C77" w:rsidRDefault="003F7ED6" w:rsidP="003F7ED6">
            <w:pPr>
              <w:pStyle w:val="ListParagraph"/>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1/1</w:t>
            </w:r>
          </w:p>
        </w:tc>
        <w:tc>
          <w:tcPr>
            <w:tcW w:w="850" w:type="dxa"/>
          </w:tcPr>
          <w:p w:rsidR="003F7ED6" w:rsidRPr="00211C77" w:rsidRDefault="003F7ED6" w:rsidP="003F7ED6">
            <w:pPr>
              <w:pStyle w:val="ListParagraph"/>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25</w:t>
            </w:r>
          </w:p>
        </w:tc>
        <w:tc>
          <w:tcPr>
            <w:tcW w:w="709" w:type="dxa"/>
          </w:tcPr>
          <w:p w:rsidR="003F7ED6" w:rsidRPr="00211C77" w:rsidRDefault="003F7ED6" w:rsidP="003F7ED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100</w:t>
            </w:r>
          </w:p>
        </w:tc>
        <w:tc>
          <w:tcPr>
            <w:tcW w:w="850" w:type="dxa"/>
          </w:tcPr>
          <w:p w:rsidR="003F7ED6" w:rsidRPr="00211C77" w:rsidRDefault="003F7ED6" w:rsidP="003F7ED6">
            <w:pPr>
              <w:pStyle w:val="ListParagraph"/>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0</w:t>
            </w:r>
          </w:p>
        </w:tc>
        <w:tc>
          <w:tcPr>
            <w:tcW w:w="851" w:type="dxa"/>
          </w:tcPr>
          <w:p w:rsidR="003F7ED6" w:rsidRPr="00211C77" w:rsidRDefault="003F7ED6" w:rsidP="003F7ED6">
            <w:pPr>
              <w:pStyle w:val="ListParagraph"/>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0</w:t>
            </w:r>
          </w:p>
        </w:tc>
        <w:tc>
          <w:tcPr>
            <w:tcW w:w="850" w:type="dxa"/>
          </w:tcPr>
          <w:p w:rsidR="003F7ED6" w:rsidRPr="00211C77" w:rsidRDefault="003F7ED6" w:rsidP="003F7ED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100</w:t>
            </w:r>
          </w:p>
        </w:tc>
      </w:tr>
      <w:tr w:rsidR="003F7ED6" w:rsidRPr="00211C77" w:rsidTr="003F7ED6">
        <w:trPr>
          <w:jc w:val="center"/>
        </w:trPr>
        <w:tc>
          <w:tcPr>
            <w:cnfStyle w:val="001000000000" w:firstRow="0" w:lastRow="0" w:firstColumn="1" w:lastColumn="0" w:oddVBand="0" w:evenVBand="0" w:oddHBand="0" w:evenHBand="0" w:firstRowFirstColumn="0" w:firstRowLastColumn="0" w:lastRowFirstColumn="0" w:lastRowLastColumn="0"/>
            <w:tcW w:w="2610" w:type="dxa"/>
            <w:vMerge/>
          </w:tcPr>
          <w:p w:rsidR="003F7ED6" w:rsidRPr="003F7ED6" w:rsidRDefault="003F7ED6" w:rsidP="00FB0A67">
            <w:pPr>
              <w:pStyle w:val="ListParagraph"/>
              <w:ind w:left="0"/>
              <w:jc w:val="both"/>
              <w:rPr>
                <w:rFonts w:ascii="Times New Roman" w:hAnsi="Times New Roman"/>
                <w:b w:val="0"/>
                <w:bCs w:val="0"/>
                <w:color w:val="000000"/>
                <w:sz w:val="20"/>
                <w:szCs w:val="20"/>
              </w:rPr>
            </w:pPr>
          </w:p>
        </w:tc>
        <w:tc>
          <w:tcPr>
            <w:tcW w:w="1076" w:type="dxa"/>
          </w:tcPr>
          <w:p w:rsidR="003F7ED6" w:rsidRPr="00211C77" w:rsidRDefault="0080687C" w:rsidP="003F7ED6">
            <w:pPr>
              <w:pStyle w:val="ListParagraph"/>
              <w:numPr>
                <w:ilvl w:val="0"/>
                <w:numId w:val="0"/>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Pr>
                <w:rFonts w:ascii="Times New Roman" w:hAnsi="Times New Roman"/>
                <w:color w:val="000000"/>
                <w:sz w:val="20"/>
                <w:szCs w:val="20"/>
              </w:rPr>
              <w:t>½</w:t>
            </w:r>
          </w:p>
        </w:tc>
        <w:tc>
          <w:tcPr>
            <w:tcW w:w="850" w:type="dxa"/>
          </w:tcPr>
          <w:p w:rsidR="003F7ED6" w:rsidRPr="00211C77" w:rsidRDefault="003F7ED6" w:rsidP="003F7ED6">
            <w:pPr>
              <w:pStyle w:val="ListParagraph"/>
              <w:numPr>
                <w:ilvl w:val="0"/>
                <w:numId w:val="0"/>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24</w:t>
            </w:r>
          </w:p>
        </w:tc>
        <w:tc>
          <w:tcPr>
            <w:tcW w:w="709" w:type="dxa"/>
          </w:tcPr>
          <w:p w:rsidR="003F7ED6" w:rsidRPr="00211C77" w:rsidRDefault="003F7ED6" w:rsidP="003F7ED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96</w:t>
            </w:r>
          </w:p>
        </w:tc>
        <w:tc>
          <w:tcPr>
            <w:tcW w:w="850" w:type="dxa"/>
          </w:tcPr>
          <w:p w:rsidR="003F7ED6" w:rsidRPr="00211C77" w:rsidRDefault="003F7ED6" w:rsidP="003F7ED6">
            <w:pPr>
              <w:pStyle w:val="ListParagraph"/>
              <w:numPr>
                <w:ilvl w:val="0"/>
                <w:numId w:val="0"/>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1</w:t>
            </w:r>
          </w:p>
        </w:tc>
        <w:tc>
          <w:tcPr>
            <w:tcW w:w="851" w:type="dxa"/>
          </w:tcPr>
          <w:p w:rsidR="003F7ED6" w:rsidRPr="00211C77" w:rsidRDefault="003F7ED6" w:rsidP="003F7ED6">
            <w:pPr>
              <w:pStyle w:val="ListParagraph"/>
              <w:numPr>
                <w:ilvl w:val="0"/>
                <w:numId w:val="0"/>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4</w:t>
            </w:r>
          </w:p>
        </w:tc>
        <w:tc>
          <w:tcPr>
            <w:tcW w:w="850" w:type="dxa"/>
          </w:tcPr>
          <w:p w:rsidR="003F7ED6" w:rsidRPr="00211C77" w:rsidRDefault="003F7ED6" w:rsidP="003F7ED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100</w:t>
            </w:r>
          </w:p>
        </w:tc>
      </w:tr>
      <w:tr w:rsidR="003F7ED6" w:rsidRPr="00211C77" w:rsidTr="003F7E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10" w:type="dxa"/>
            <w:vMerge w:val="restart"/>
          </w:tcPr>
          <w:p w:rsidR="003F7ED6" w:rsidRPr="003F7ED6" w:rsidRDefault="003F7ED6" w:rsidP="00FB0A67">
            <w:pPr>
              <w:pStyle w:val="ListParagraph"/>
              <w:ind w:left="0"/>
              <w:rPr>
                <w:rFonts w:ascii="Times New Roman" w:hAnsi="Times New Roman"/>
                <w:b w:val="0"/>
                <w:bCs w:val="0"/>
                <w:color w:val="000000"/>
                <w:sz w:val="20"/>
                <w:szCs w:val="20"/>
              </w:rPr>
            </w:pPr>
            <w:r w:rsidRPr="003F7ED6">
              <w:rPr>
                <w:rFonts w:ascii="Times New Roman" w:hAnsi="Times New Roman"/>
                <w:b w:val="0"/>
                <w:bCs w:val="0"/>
                <w:color w:val="000000"/>
                <w:sz w:val="20"/>
                <w:szCs w:val="20"/>
              </w:rPr>
              <w:t>Bagaimana Makhluk Hidup Beradaptasi ?</w:t>
            </w:r>
          </w:p>
        </w:tc>
        <w:tc>
          <w:tcPr>
            <w:tcW w:w="1076" w:type="dxa"/>
          </w:tcPr>
          <w:p w:rsidR="003F7ED6" w:rsidRPr="00211C77" w:rsidRDefault="003F7ED6" w:rsidP="003F7ED6">
            <w:pPr>
              <w:pStyle w:val="ListParagraph"/>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2/1</w:t>
            </w:r>
          </w:p>
        </w:tc>
        <w:tc>
          <w:tcPr>
            <w:tcW w:w="850" w:type="dxa"/>
          </w:tcPr>
          <w:p w:rsidR="003F7ED6" w:rsidRPr="00211C77" w:rsidRDefault="003F7ED6" w:rsidP="003F7ED6">
            <w:pPr>
              <w:pStyle w:val="ListParagraph"/>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1</w:t>
            </w:r>
          </w:p>
        </w:tc>
        <w:tc>
          <w:tcPr>
            <w:tcW w:w="709" w:type="dxa"/>
          </w:tcPr>
          <w:p w:rsidR="003F7ED6" w:rsidRPr="00211C77" w:rsidRDefault="003F7ED6" w:rsidP="003F7ED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96</w:t>
            </w:r>
          </w:p>
        </w:tc>
        <w:tc>
          <w:tcPr>
            <w:tcW w:w="850" w:type="dxa"/>
          </w:tcPr>
          <w:p w:rsidR="003F7ED6" w:rsidRPr="00211C77" w:rsidRDefault="003F7ED6" w:rsidP="003F7ED6">
            <w:pPr>
              <w:pStyle w:val="ListParagraph"/>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24</w:t>
            </w:r>
          </w:p>
        </w:tc>
        <w:tc>
          <w:tcPr>
            <w:tcW w:w="851" w:type="dxa"/>
          </w:tcPr>
          <w:p w:rsidR="003F7ED6" w:rsidRPr="00211C77" w:rsidRDefault="003F7ED6" w:rsidP="003F7ED6">
            <w:pPr>
              <w:pStyle w:val="ListParagraph"/>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96</w:t>
            </w:r>
          </w:p>
        </w:tc>
        <w:tc>
          <w:tcPr>
            <w:tcW w:w="850" w:type="dxa"/>
          </w:tcPr>
          <w:p w:rsidR="003F7ED6" w:rsidRPr="00211C77" w:rsidRDefault="003F7ED6" w:rsidP="003F7ED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100</w:t>
            </w:r>
          </w:p>
        </w:tc>
      </w:tr>
      <w:tr w:rsidR="003F7ED6" w:rsidRPr="00211C77" w:rsidTr="003F7ED6">
        <w:trPr>
          <w:jc w:val="center"/>
        </w:trPr>
        <w:tc>
          <w:tcPr>
            <w:cnfStyle w:val="001000000000" w:firstRow="0" w:lastRow="0" w:firstColumn="1" w:lastColumn="0" w:oddVBand="0" w:evenVBand="0" w:oddHBand="0" w:evenHBand="0" w:firstRowFirstColumn="0" w:firstRowLastColumn="0" w:lastRowFirstColumn="0" w:lastRowLastColumn="0"/>
            <w:tcW w:w="2610" w:type="dxa"/>
            <w:vMerge/>
          </w:tcPr>
          <w:p w:rsidR="003F7ED6" w:rsidRPr="003F7ED6" w:rsidRDefault="003F7ED6" w:rsidP="00FB0A67">
            <w:pPr>
              <w:pStyle w:val="ListParagraph"/>
              <w:ind w:left="0"/>
              <w:jc w:val="both"/>
              <w:rPr>
                <w:rFonts w:ascii="Times New Roman" w:hAnsi="Times New Roman"/>
                <w:b w:val="0"/>
                <w:bCs w:val="0"/>
                <w:color w:val="000000"/>
                <w:sz w:val="20"/>
                <w:szCs w:val="20"/>
              </w:rPr>
            </w:pPr>
          </w:p>
        </w:tc>
        <w:tc>
          <w:tcPr>
            <w:tcW w:w="1076" w:type="dxa"/>
          </w:tcPr>
          <w:p w:rsidR="003F7ED6" w:rsidRPr="00211C77" w:rsidRDefault="003F7ED6" w:rsidP="003F7ED6">
            <w:pPr>
              <w:pStyle w:val="ListParagraph"/>
              <w:numPr>
                <w:ilvl w:val="0"/>
                <w:numId w:val="0"/>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2/2</w:t>
            </w:r>
          </w:p>
        </w:tc>
        <w:tc>
          <w:tcPr>
            <w:tcW w:w="850" w:type="dxa"/>
          </w:tcPr>
          <w:p w:rsidR="003F7ED6" w:rsidRPr="00211C77" w:rsidRDefault="003F7ED6" w:rsidP="003F7ED6">
            <w:pPr>
              <w:pStyle w:val="ListParagraph"/>
              <w:numPr>
                <w:ilvl w:val="0"/>
                <w:numId w:val="0"/>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21</w:t>
            </w:r>
          </w:p>
        </w:tc>
        <w:tc>
          <w:tcPr>
            <w:tcW w:w="709" w:type="dxa"/>
          </w:tcPr>
          <w:p w:rsidR="003F7ED6" w:rsidRPr="00211C77" w:rsidRDefault="003F7ED6" w:rsidP="003F7ED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84</w:t>
            </w:r>
          </w:p>
        </w:tc>
        <w:tc>
          <w:tcPr>
            <w:tcW w:w="850" w:type="dxa"/>
          </w:tcPr>
          <w:p w:rsidR="003F7ED6" w:rsidRPr="00211C77" w:rsidRDefault="003F7ED6" w:rsidP="003F7ED6">
            <w:pPr>
              <w:pStyle w:val="ListParagraph"/>
              <w:numPr>
                <w:ilvl w:val="0"/>
                <w:numId w:val="0"/>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4</w:t>
            </w:r>
          </w:p>
        </w:tc>
        <w:tc>
          <w:tcPr>
            <w:tcW w:w="851" w:type="dxa"/>
          </w:tcPr>
          <w:p w:rsidR="003F7ED6" w:rsidRPr="00211C77" w:rsidRDefault="003F7ED6" w:rsidP="003F7ED6">
            <w:pPr>
              <w:pStyle w:val="ListParagraph"/>
              <w:numPr>
                <w:ilvl w:val="0"/>
                <w:numId w:val="0"/>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16</w:t>
            </w:r>
          </w:p>
        </w:tc>
        <w:tc>
          <w:tcPr>
            <w:tcW w:w="850" w:type="dxa"/>
          </w:tcPr>
          <w:p w:rsidR="003F7ED6" w:rsidRPr="00211C77" w:rsidRDefault="003F7ED6" w:rsidP="003F7ED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100</w:t>
            </w:r>
          </w:p>
        </w:tc>
      </w:tr>
      <w:tr w:rsidR="003F7ED6" w:rsidRPr="00211C77" w:rsidTr="003F7E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10" w:type="dxa"/>
            <w:vMerge w:val="restart"/>
          </w:tcPr>
          <w:p w:rsidR="003F7ED6" w:rsidRPr="003F7ED6" w:rsidRDefault="003F7ED6" w:rsidP="00FB0A67">
            <w:pPr>
              <w:pStyle w:val="ListParagraph"/>
              <w:ind w:left="0"/>
              <w:rPr>
                <w:rFonts w:ascii="Times New Roman" w:hAnsi="Times New Roman"/>
                <w:b w:val="0"/>
                <w:bCs w:val="0"/>
                <w:color w:val="000000"/>
                <w:sz w:val="20"/>
                <w:szCs w:val="20"/>
              </w:rPr>
            </w:pPr>
            <w:r w:rsidRPr="003F7ED6">
              <w:rPr>
                <w:rFonts w:ascii="Times New Roman" w:hAnsi="Times New Roman"/>
                <w:b w:val="0"/>
                <w:bCs w:val="0"/>
                <w:color w:val="000000"/>
                <w:sz w:val="20"/>
                <w:szCs w:val="20"/>
              </w:rPr>
              <w:t>Kemana Perginya Capung?</w:t>
            </w:r>
          </w:p>
        </w:tc>
        <w:tc>
          <w:tcPr>
            <w:tcW w:w="1076" w:type="dxa"/>
          </w:tcPr>
          <w:p w:rsidR="003F7ED6" w:rsidRPr="00211C77" w:rsidRDefault="003F7ED6" w:rsidP="003F7ED6">
            <w:pPr>
              <w:pStyle w:val="ListParagraph"/>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3/1</w:t>
            </w:r>
          </w:p>
        </w:tc>
        <w:tc>
          <w:tcPr>
            <w:tcW w:w="850" w:type="dxa"/>
          </w:tcPr>
          <w:p w:rsidR="003F7ED6" w:rsidRPr="00211C77" w:rsidRDefault="003F7ED6" w:rsidP="003F7ED6">
            <w:pPr>
              <w:pStyle w:val="ListParagraph"/>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5</w:t>
            </w:r>
          </w:p>
        </w:tc>
        <w:tc>
          <w:tcPr>
            <w:tcW w:w="709" w:type="dxa"/>
          </w:tcPr>
          <w:p w:rsidR="003F7ED6" w:rsidRPr="00211C77" w:rsidRDefault="003F7ED6" w:rsidP="003F7ED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20</w:t>
            </w:r>
          </w:p>
        </w:tc>
        <w:tc>
          <w:tcPr>
            <w:tcW w:w="850" w:type="dxa"/>
          </w:tcPr>
          <w:p w:rsidR="003F7ED6" w:rsidRPr="00211C77" w:rsidRDefault="003F7ED6" w:rsidP="003F7ED6">
            <w:pPr>
              <w:pStyle w:val="ListParagraph"/>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20</w:t>
            </w:r>
          </w:p>
        </w:tc>
        <w:tc>
          <w:tcPr>
            <w:tcW w:w="851" w:type="dxa"/>
          </w:tcPr>
          <w:p w:rsidR="003F7ED6" w:rsidRPr="00211C77" w:rsidRDefault="003F7ED6" w:rsidP="003F7ED6">
            <w:pPr>
              <w:pStyle w:val="ListParagraph"/>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80</w:t>
            </w:r>
          </w:p>
        </w:tc>
        <w:tc>
          <w:tcPr>
            <w:tcW w:w="850" w:type="dxa"/>
          </w:tcPr>
          <w:p w:rsidR="003F7ED6" w:rsidRPr="00211C77" w:rsidRDefault="003F7ED6" w:rsidP="003F7ED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100</w:t>
            </w:r>
          </w:p>
        </w:tc>
      </w:tr>
      <w:tr w:rsidR="003F7ED6" w:rsidRPr="00211C77" w:rsidTr="003F7ED6">
        <w:trPr>
          <w:jc w:val="center"/>
        </w:trPr>
        <w:tc>
          <w:tcPr>
            <w:cnfStyle w:val="001000000000" w:firstRow="0" w:lastRow="0" w:firstColumn="1" w:lastColumn="0" w:oddVBand="0" w:evenVBand="0" w:oddHBand="0" w:evenHBand="0" w:firstRowFirstColumn="0" w:firstRowLastColumn="0" w:lastRowFirstColumn="0" w:lastRowLastColumn="0"/>
            <w:tcW w:w="2610" w:type="dxa"/>
            <w:vMerge/>
          </w:tcPr>
          <w:p w:rsidR="003F7ED6" w:rsidRPr="003F7ED6" w:rsidRDefault="003F7ED6" w:rsidP="00FB0A67">
            <w:pPr>
              <w:pStyle w:val="ListParagraph"/>
              <w:ind w:left="0"/>
              <w:rPr>
                <w:rFonts w:ascii="Times New Roman" w:hAnsi="Times New Roman"/>
                <w:b w:val="0"/>
                <w:bCs w:val="0"/>
                <w:color w:val="000000"/>
                <w:sz w:val="20"/>
                <w:szCs w:val="20"/>
              </w:rPr>
            </w:pPr>
          </w:p>
        </w:tc>
        <w:tc>
          <w:tcPr>
            <w:tcW w:w="1076" w:type="dxa"/>
          </w:tcPr>
          <w:p w:rsidR="003F7ED6" w:rsidRPr="00211C77" w:rsidRDefault="003F7ED6" w:rsidP="003F7ED6">
            <w:pPr>
              <w:pStyle w:val="ListParagraph"/>
              <w:numPr>
                <w:ilvl w:val="0"/>
                <w:numId w:val="0"/>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3/2</w:t>
            </w:r>
          </w:p>
        </w:tc>
        <w:tc>
          <w:tcPr>
            <w:tcW w:w="850" w:type="dxa"/>
          </w:tcPr>
          <w:p w:rsidR="003F7ED6" w:rsidRPr="00211C77" w:rsidRDefault="003F7ED6" w:rsidP="003F7ED6">
            <w:pPr>
              <w:pStyle w:val="ListParagraph"/>
              <w:numPr>
                <w:ilvl w:val="0"/>
                <w:numId w:val="0"/>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9</w:t>
            </w:r>
          </w:p>
        </w:tc>
        <w:tc>
          <w:tcPr>
            <w:tcW w:w="709" w:type="dxa"/>
          </w:tcPr>
          <w:p w:rsidR="003F7ED6" w:rsidRPr="00211C77" w:rsidRDefault="003F7ED6" w:rsidP="003F7ED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36</w:t>
            </w:r>
          </w:p>
        </w:tc>
        <w:tc>
          <w:tcPr>
            <w:tcW w:w="850" w:type="dxa"/>
          </w:tcPr>
          <w:p w:rsidR="003F7ED6" w:rsidRPr="00211C77" w:rsidRDefault="003F7ED6" w:rsidP="003F7ED6">
            <w:pPr>
              <w:pStyle w:val="ListParagraph"/>
              <w:numPr>
                <w:ilvl w:val="0"/>
                <w:numId w:val="0"/>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16</w:t>
            </w:r>
          </w:p>
        </w:tc>
        <w:tc>
          <w:tcPr>
            <w:tcW w:w="851" w:type="dxa"/>
          </w:tcPr>
          <w:p w:rsidR="003F7ED6" w:rsidRPr="00211C77" w:rsidRDefault="003F7ED6" w:rsidP="003F7ED6">
            <w:pPr>
              <w:pStyle w:val="ListParagraph"/>
              <w:numPr>
                <w:ilvl w:val="0"/>
                <w:numId w:val="0"/>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64</w:t>
            </w:r>
          </w:p>
        </w:tc>
        <w:tc>
          <w:tcPr>
            <w:tcW w:w="850" w:type="dxa"/>
          </w:tcPr>
          <w:p w:rsidR="003F7ED6" w:rsidRPr="00211C77" w:rsidRDefault="003F7ED6" w:rsidP="003F7ED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100</w:t>
            </w:r>
          </w:p>
        </w:tc>
      </w:tr>
      <w:tr w:rsidR="003F7ED6" w:rsidRPr="00211C77" w:rsidTr="003F7E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10" w:type="dxa"/>
            <w:vMerge w:val="restart"/>
          </w:tcPr>
          <w:p w:rsidR="003F7ED6" w:rsidRPr="003F7ED6" w:rsidRDefault="003F7ED6" w:rsidP="00FB0A67">
            <w:pPr>
              <w:pStyle w:val="ListParagraph"/>
              <w:ind w:left="0"/>
              <w:rPr>
                <w:rFonts w:ascii="Times New Roman" w:hAnsi="Times New Roman"/>
                <w:b w:val="0"/>
                <w:bCs w:val="0"/>
                <w:color w:val="000000"/>
                <w:sz w:val="20"/>
                <w:szCs w:val="20"/>
              </w:rPr>
            </w:pPr>
            <w:r w:rsidRPr="003F7ED6">
              <w:rPr>
                <w:rFonts w:ascii="Times New Roman" w:hAnsi="Times New Roman"/>
                <w:b w:val="0"/>
                <w:bCs w:val="0"/>
                <w:color w:val="000000"/>
                <w:sz w:val="20"/>
                <w:szCs w:val="20"/>
              </w:rPr>
              <w:t>Kehebatan Cahaya</w:t>
            </w:r>
          </w:p>
        </w:tc>
        <w:tc>
          <w:tcPr>
            <w:tcW w:w="1076" w:type="dxa"/>
          </w:tcPr>
          <w:p w:rsidR="003F7ED6" w:rsidRPr="00211C77" w:rsidRDefault="003F7ED6" w:rsidP="003F7ED6">
            <w:pPr>
              <w:pStyle w:val="ListParagraph"/>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4/1</w:t>
            </w:r>
          </w:p>
        </w:tc>
        <w:tc>
          <w:tcPr>
            <w:tcW w:w="850" w:type="dxa"/>
          </w:tcPr>
          <w:p w:rsidR="003F7ED6" w:rsidRPr="00211C77" w:rsidRDefault="003F7ED6" w:rsidP="003F7ED6">
            <w:pPr>
              <w:pStyle w:val="ListParagraph"/>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10</w:t>
            </w:r>
          </w:p>
        </w:tc>
        <w:tc>
          <w:tcPr>
            <w:tcW w:w="709" w:type="dxa"/>
          </w:tcPr>
          <w:p w:rsidR="003F7ED6" w:rsidRPr="00211C77" w:rsidRDefault="003F7ED6" w:rsidP="003F7ED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40</w:t>
            </w:r>
          </w:p>
        </w:tc>
        <w:tc>
          <w:tcPr>
            <w:tcW w:w="850" w:type="dxa"/>
          </w:tcPr>
          <w:p w:rsidR="003F7ED6" w:rsidRPr="00211C77" w:rsidRDefault="003F7ED6" w:rsidP="003F7ED6">
            <w:pPr>
              <w:pStyle w:val="ListParagraph"/>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15</w:t>
            </w:r>
          </w:p>
        </w:tc>
        <w:tc>
          <w:tcPr>
            <w:tcW w:w="851" w:type="dxa"/>
          </w:tcPr>
          <w:p w:rsidR="003F7ED6" w:rsidRPr="00211C77" w:rsidRDefault="003F7ED6" w:rsidP="003F7ED6">
            <w:pPr>
              <w:pStyle w:val="ListParagraph"/>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60</w:t>
            </w:r>
          </w:p>
        </w:tc>
        <w:tc>
          <w:tcPr>
            <w:tcW w:w="850" w:type="dxa"/>
          </w:tcPr>
          <w:p w:rsidR="003F7ED6" w:rsidRPr="00211C77" w:rsidRDefault="003F7ED6" w:rsidP="003F7ED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100</w:t>
            </w:r>
          </w:p>
        </w:tc>
      </w:tr>
      <w:tr w:rsidR="003F7ED6" w:rsidRPr="00211C77" w:rsidTr="003F7ED6">
        <w:trPr>
          <w:jc w:val="center"/>
        </w:trPr>
        <w:tc>
          <w:tcPr>
            <w:cnfStyle w:val="001000000000" w:firstRow="0" w:lastRow="0" w:firstColumn="1" w:lastColumn="0" w:oddVBand="0" w:evenVBand="0" w:oddHBand="0" w:evenHBand="0" w:firstRowFirstColumn="0" w:firstRowLastColumn="0" w:lastRowFirstColumn="0" w:lastRowLastColumn="0"/>
            <w:tcW w:w="2610" w:type="dxa"/>
            <w:vMerge/>
          </w:tcPr>
          <w:p w:rsidR="003F7ED6" w:rsidRPr="003F7ED6" w:rsidRDefault="003F7ED6" w:rsidP="00FB0A67">
            <w:pPr>
              <w:pStyle w:val="ListParagraph"/>
              <w:ind w:left="0"/>
              <w:rPr>
                <w:rFonts w:ascii="Times New Roman" w:hAnsi="Times New Roman"/>
                <w:b w:val="0"/>
                <w:bCs w:val="0"/>
                <w:color w:val="000000"/>
                <w:sz w:val="20"/>
                <w:szCs w:val="20"/>
              </w:rPr>
            </w:pPr>
          </w:p>
        </w:tc>
        <w:tc>
          <w:tcPr>
            <w:tcW w:w="1076" w:type="dxa"/>
          </w:tcPr>
          <w:p w:rsidR="003F7ED6" w:rsidRPr="00211C77" w:rsidRDefault="003F7ED6" w:rsidP="003F7ED6">
            <w:pPr>
              <w:pStyle w:val="ListParagraph"/>
              <w:numPr>
                <w:ilvl w:val="0"/>
                <w:numId w:val="0"/>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4/2</w:t>
            </w:r>
          </w:p>
        </w:tc>
        <w:tc>
          <w:tcPr>
            <w:tcW w:w="850" w:type="dxa"/>
          </w:tcPr>
          <w:p w:rsidR="003F7ED6" w:rsidRPr="00211C77" w:rsidRDefault="003F7ED6" w:rsidP="003F7ED6">
            <w:pPr>
              <w:pStyle w:val="ListParagraph"/>
              <w:numPr>
                <w:ilvl w:val="0"/>
                <w:numId w:val="0"/>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10</w:t>
            </w:r>
          </w:p>
        </w:tc>
        <w:tc>
          <w:tcPr>
            <w:tcW w:w="709" w:type="dxa"/>
          </w:tcPr>
          <w:p w:rsidR="003F7ED6" w:rsidRPr="00211C77" w:rsidRDefault="003F7ED6" w:rsidP="003F7ED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40</w:t>
            </w:r>
          </w:p>
        </w:tc>
        <w:tc>
          <w:tcPr>
            <w:tcW w:w="850" w:type="dxa"/>
          </w:tcPr>
          <w:p w:rsidR="003F7ED6" w:rsidRPr="00211C77" w:rsidRDefault="003F7ED6" w:rsidP="003F7ED6">
            <w:pPr>
              <w:pStyle w:val="ListParagraph"/>
              <w:numPr>
                <w:ilvl w:val="0"/>
                <w:numId w:val="0"/>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15</w:t>
            </w:r>
          </w:p>
        </w:tc>
        <w:tc>
          <w:tcPr>
            <w:tcW w:w="851" w:type="dxa"/>
          </w:tcPr>
          <w:p w:rsidR="003F7ED6" w:rsidRPr="00211C77" w:rsidRDefault="003F7ED6" w:rsidP="003F7ED6">
            <w:pPr>
              <w:pStyle w:val="ListParagraph"/>
              <w:numPr>
                <w:ilvl w:val="0"/>
                <w:numId w:val="0"/>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60</w:t>
            </w:r>
          </w:p>
        </w:tc>
        <w:tc>
          <w:tcPr>
            <w:tcW w:w="850" w:type="dxa"/>
          </w:tcPr>
          <w:p w:rsidR="003F7ED6" w:rsidRPr="00211C77" w:rsidRDefault="003F7ED6" w:rsidP="003F7ED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100</w:t>
            </w:r>
          </w:p>
        </w:tc>
      </w:tr>
      <w:tr w:rsidR="003F7ED6" w:rsidRPr="00211C77" w:rsidTr="003F7E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10" w:type="dxa"/>
            <w:vMerge w:val="restart"/>
          </w:tcPr>
          <w:p w:rsidR="003F7ED6" w:rsidRPr="003F7ED6" w:rsidRDefault="003F7ED6" w:rsidP="00FB0A67">
            <w:pPr>
              <w:pStyle w:val="ListParagraph"/>
              <w:ind w:left="0"/>
              <w:rPr>
                <w:rFonts w:ascii="Times New Roman" w:hAnsi="Times New Roman"/>
                <w:b w:val="0"/>
                <w:bCs w:val="0"/>
                <w:color w:val="000000"/>
                <w:sz w:val="20"/>
                <w:szCs w:val="20"/>
              </w:rPr>
            </w:pPr>
            <w:r w:rsidRPr="003F7ED6">
              <w:rPr>
                <w:rFonts w:ascii="Times New Roman" w:hAnsi="Times New Roman"/>
                <w:b w:val="0"/>
                <w:bCs w:val="0"/>
                <w:color w:val="000000"/>
                <w:sz w:val="20"/>
                <w:szCs w:val="20"/>
              </w:rPr>
              <w:t>Kabut Asap dan Penyakit ISPA</w:t>
            </w:r>
          </w:p>
        </w:tc>
        <w:tc>
          <w:tcPr>
            <w:tcW w:w="1076" w:type="dxa"/>
          </w:tcPr>
          <w:p w:rsidR="003F7ED6" w:rsidRPr="00211C77" w:rsidRDefault="003F7ED6" w:rsidP="003F7ED6">
            <w:pPr>
              <w:pStyle w:val="ListParagraph"/>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5/1</w:t>
            </w:r>
          </w:p>
        </w:tc>
        <w:tc>
          <w:tcPr>
            <w:tcW w:w="850" w:type="dxa"/>
          </w:tcPr>
          <w:p w:rsidR="003F7ED6" w:rsidRPr="00211C77" w:rsidRDefault="003F7ED6" w:rsidP="003F7ED6">
            <w:pPr>
              <w:pStyle w:val="ListParagraph"/>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15</w:t>
            </w:r>
          </w:p>
        </w:tc>
        <w:tc>
          <w:tcPr>
            <w:tcW w:w="709" w:type="dxa"/>
          </w:tcPr>
          <w:p w:rsidR="003F7ED6" w:rsidRPr="00211C77" w:rsidRDefault="003F7ED6" w:rsidP="003F7ED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60</w:t>
            </w:r>
          </w:p>
        </w:tc>
        <w:tc>
          <w:tcPr>
            <w:tcW w:w="850" w:type="dxa"/>
          </w:tcPr>
          <w:p w:rsidR="003F7ED6" w:rsidRPr="00211C77" w:rsidRDefault="003F7ED6" w:rsidP="003F7ED6">
            <w:pPr>
              <w:pStyle w:val="ListParagraph"/>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10</w:t>
            </w:r>
          </w:p>
        </w:tc>
        <w:tc>
          <w:tcPr>
            <w:tcW w:w="851" w:type="dxa"/>
          </w:tcPr>
          <w:p w:rsidR="003F7ED6" w:rsidRPr="00211C77" w:rsidRDefault="003F7ED6" w:rsidP="003F7ED6">
            <w:pPr>
              <w:pStyle w:val="ListParagraph"/>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40</w:t>
            </w:r>
          </w:p>
        </w:tc>
        <w:tc>
          <w:tcPr>
            <w:tcW w:w="850" w:type="dxa"/>
          </w:tcPr>
          <w:p w:rsidR="003F7ED6" w:rsidRPr="00211C77" w:rsidRDefault="003F7ED6" w:rsidP="003F7ED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100</w:t>
            </w:r>
          </w:p>
        </w:tc>
      </w:tr>
      <w:tr w:rsidR="003F7ED6" w:rsidRPr="00211C77" w:rsidTr="003F7ED6">
        <w:trPr>
          <w:jc w:val="center"/>
        </w:trPr>
        <w:tc>
          <w:tcPr>
            <w:cnfStyle w:val="001000000000" w:firstRow="0" w:lastRow="0" w:firstColumn="1" w:lastColumn="0" w:oddVBand="0" w:evenVBand="0" w:oddHBand="0" w:evenHBand="0" w:firstRowFirstColumn="0" w:firstRowLastColumn="0" w:lastRowFirstColumn="0" w:lastRowLastColumn="0"/>
            <w:tcW w:w="2610" w:type="dxa"/>
            <w:vMerge/>
          </w:tcPr>
          <w:p w:rsidR="003F7ED6" w:rsidRPr="003F7ED6" w:rsidRDefault="003F7ED6" w:rsidP="00FB0A67">
            <w:pPr>
              <w:pStyle w:val="ListParagraph"/>
              <w:ind w:left="0"/>
              <w:rPr>
                <w:rFonts w:ascii="Times New Roman" w:hAnsi="Times New Roman"/>
                <w:b w:val="0"/>
                <w:bCs w:val="0"/>
                <w:color w:val="000000"/>
                <w:sz w:val="20"/>
                <w:szCs w:val="20"/>
              </w:rPr>
            </w:pPr>
          </w:p>
        </w:tc>
        <w:tc>
          <w:tcPr>
            <w:tcW w:w="1076" w:type="dxa"/>
          </w:tcPr>
          <w:p w:rsidR="003F7ED6" w:rsidRPr="00211C77" w:rsidRDefault="003F7ED6" w:rsidP="003F7ED6">
            <w:pPr>
              <w:pStyle w:val="ListParagraph"/>
              <w:numPr>
                <w:ilvl w:val="0"/>
                <w:numId w:val="0"/>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5/2</w:t>
            </w:r>
          </w:p>
        </w:tc>
        <w:tc>
          <w:tcPr>
            <w:tcW w:w="850" w:type="dxa"/>
          </w:tcPr>
          <w:p w:rsidR="003F7ED6" w:rsidRPr="00211C77" w:rsidRDefault="003F7ED6" w:rsidP="003F7ED6">
            <w:pPr>
              <w:pStyle w:val="ListParagraph"/>
              <w:numPr>
                <w:ilvl w:val="0"/>
                <w:numId w:val="0"/>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8</w:t>
            </w:r>
          </w:p>
        </w:tc>
        <w:tc>
          <w:tcPr>
            <w:tcW w:w="709" w:type="dxa"/>
          </w:tcPr>
          <w:p w:rsidR="003F7ED6" w:rsidRPr="00211C77" w:rsidRDefault="003F7ED6" w:rsidP="003F7ED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32</w:t>
            </w:r>
          </w:p>
        </w:tc>
        <w:tc>
          <w:tcPr>
            <w:tcW w:w="850" w:type="dxa"/>
          </w:tcPr>
          <w:p w:rsidR="003F7ED6" w:rsidRPr="00211C77" w:rsidRDefault="003F7ED6" w:rsidP="003F7ED6">
            <w:pPr>
              <w:pStyle w:val="ListParagraph"/>
              <w:numPr>
                <w:ilvl w:val="0"/>
                <w:numId w:val="0"/>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17</w:t>
            </w:r>
          </w:p>
        </w:tc>
        <w:tc>
          <w:tcPr>
            <w:tcW w:w="851" w:type="dxa"/>
          </w:tcPr>
          <w:p w:rsidR="003F7ED6" w:rsidRPr="00211C77" w:rsidRDefault="003F7ED6" w:rsidP="003F7ED6">
            <w:pPr>
              <w:pStyle w:val="ListParagraph"/>
              <w:numPr>
                <w:ilvl w:val="0"/>
                <w:numId w:val="0"/>
              </w:num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68</w:t>
            </w:r>
          </w:p>
        </w:tc>
        <w:tc>
          <w:tcPr>
            <w:tcW w:w="850" w:type="dxa"/>
          </w:tcPr>
          <w:p w:rsidR="003F7ED6" w:rsidRPr="00211C77" w:rsidRDefault="003F7ED6" w:rsidP="003F7ED6">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100</w:t>
            </w:r>
          </w:p>
        </w:tc>
      </w:tr>
      <w:tr w:rsidR="003F7ED6" w:rsidRPr="00211C77" w:rsidTr="003F7ED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10" w:type="dxa"/>
          </w:tcPr>
          <w:p w:rsidR="003F7ED6" w:rsidRPr="003F7ED6" w:rsidRDefault="003F7ED6" w:rsidP="00FB0A67">
            <w:pPr>
              <w:pStyle w:val="ListParagraph"/>
              <w:ind w:left="0"/>
              <w:rPr>
                <w:rFonts w:ascii="Times New Roman" w:hAnsi="Times New Roman"/>
                <w:b w:val="0"/>
                <w:bCs w:val="0"/>
                <w:color w:val="000000"/>
                <w:sz w:val="20"/>
                <w:szCs w:val="20"/>
              </w:rPr>
            </w:pPr>
            <w:r w:rsidRPr="003F7ED6">
              <w:rPr>
                <w:rFonts w:ascii="Times New Roman" w:hAnsi="Times New Roman"/>
                <w:b w:val="0"/>
                <w:bCs w:val="0"/>
                <w:color w:val="000000"/>
                <w:sz w:val="20"/>
                <w:szCs w:val="20"/>
              </w:rPr>
              <w:t xml:space="preserve">Rata-rata Menjawab Benar </w:t>
            </w:r>
          </w:p>
        </w:tc>
        <w:tc>
          <w:tcPr>
            <w:tcW w:w="1076" w:type="dxa"/>
          </w:tcPr>
          <w:p w:rsidR="003F7ED6" w:rsidRPr="00211C77" w:rsidRDefault="003F7ED6" w:rsidP="003F7ED6">
            <w:pPr>
              <w:pStyle w:val="ListParagraph"/>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p>
        </w:tc>
        <w:tc>
          <w:tcPr>
            <w:tcW w:w="850" w:type="dxa"/>
          </w:tcPr>
          <w:p w:rsidR="003F7ED6" w:rsidRPr="00211C77" w:rsidRDefault="003F7ED6" w:rsidP="003F7ED6">
            <w:pPr>
              <w:pStyle w:val="ListParagraph"/>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13</w:t>
            </w:r>
          </w:p>
        </w:tc>
        <w:tc>
          <w:tcPr>
            <w:tcW w:w="709" w:type="dxa"/>
          </w:tcPr>
          <w:p w:rsidR="003F7ED6" w:rsidRPr="00211C77" w:rsidRDefault="003F7ED6" w:rsidP="003F7ED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52</w:t>
            </w:r>
          </w:p>
        </w:tc>
        <w:tc>
          <w:tcPr>
            <w:tcW w:w="850" w:type="dxa"/>
          </w:tcPr>
          <w:p w:rsidR="003F7ED6" w:rsidRPr="00211C77" w:rsidRDefault="003F7ED6" w:rsidP="003F7ED6">
            <w:pPr>
              <w:pStyle w:val="ListParagraph"/>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12</w:t>
            </w:r>
          </w:p>
        </w:tc>
        <w:tc>
          <w:tcPr>
            <w:tcW w:w="851" w:type="dxa"/>
          </w:tcPr>
          <w:p w:rsidR="003F7ED6" w:rsidRPr="00211C77" w:rsidRDefault="003F7ED6" w:rsidP="003F7ED6">
            <w:pPr>
              <w:pStyle w:val="ListParagraph"/>
              <w:numPr>
                <w:ilvl w:val="0"/>
                <w:numId w:val="0"/>
              </w:num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48</w:t>
            </w:r>
          </w:p>
        </w:tc>
        <w:tc>
          <w:tcPr>
            <w:tcW w:w="850" w:type="dxa"/>
          </w:tcPr>
          <w:p w:rsidR="003F7ED6" w:rsidRPr="00211C77" w:rsidRDefault="003F7ED6" w:rsidP="003F7ED6">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rPr>
            </w:pPr>
            <w:r w:rsidRPr="00211C77">
              <w:rPr>
                <w:rFonts w:ascii="Times New Roman" w:hAnsi="Times New Roman"/>
                <w:color w:val="000000"/>
                <w:sz w:val="20"/>
                <w:szCs w:val="20"/>
              </w:rPr>
              <w:t>100</w:t>
            </w:r>
          </w:p>
        </w:tc>
      </w:tr>
    </w:tbl>
    <w:p w:rsidR="00731397" w:rsidRPr="00731397" w:rsidRDefault="00731397" w:rsidP="00731397">
      <w:pPr>
        <w:pStyle w:val="BodyText"/>
        <w:jc w:val="center"/>
        <w:rPr>
          <w:lang w:eastAsia="id-ID"/>
        </w:rPr>
      </w:pPr>
    </w:p>
    <w:p w:rsidR="003F7ED6" w:rsidRDefault="003F7ED6" w:rsidP="00C244F4">
      <w:pPr>
        <w:pStyle w:val="8ParagrafAwal-FirstParagraph"/>
        <w:ind w:firstLine="630"/>
        <w:rPr>
          <w:lang w:val="en-US"/>
        </w:rPr>
      </w:pPr>
      <w:r>
        <w:rPr>
          <w:lang w:val="en-US"/>
        </w:rPr>
        <w:t xml:space="preserve">Hasil pada tabel di atas dapat di deskripsikan bahwa rata-rata jumlah siswa yang menjawab benar pada lima topic soal terkait dengan aspek konteks literasi sains hanya berjumlah 13 siswa atau setara dengan 52%. Besarnya persentase siswa yang menjawab dengan kategori benar pada lima topic yang disajikan hakikatnya berada pada kategori lebih besar dari setengahnya. Artinya, lebih dari setengah dari jumlah seluruh siswa yang diuji mampu menjawab benar soal yang diujikan. Hal tersebut juga berlaku sebaliknya </w:t>
      </w:r>
      <w:r w:rsidR="00AB64BF">
        <w:rPr>
          <w:lang w:val="en-US"/>
        </w:rPr>
        <w:t xml:space="preserve">bagi siswa yang menjawab salah. Gambaran umum kemampuan literasi sains pada aspek konteks, tergambar pada grafik berikut. </w:t>
      </w:r>
    </w:p>
    <w:p w:rsidR="00AB64BF" w:rsidRPr="00AB64BF" w:rsidRDefault="00AB64BF" w:rsidP="00AB64BF">
      <w:pPr>
        <w:pStyle w:val="BodyText"/>
        <w:rPr>
          <w:lang w:eastAsia="id-ID"/>
        </w:rPr>
      </w:pPr>
      <w:r>
        <w:rPr>
          <w:noProof/>
        </w:rPr>
        <w:drawing>
          <wp:anchor distT="0" distB="0" distL="114300" distR="114300" simplePos="0" relativeHeight="251660288" behindDoc="0" locked="0" layoutInCell="1" allowOverlap="1" wp14:anchorId="0F95BEC4" wp14:editId="7EC4159A">
            <wp:simplePos x="0" y="0"/>
            <wp:positionH relativeFrom="column">
              <wp:posOffset>1527810</wp:posOffset>
            </wp:positionH>
            <wp:positionV relativeFrom="paragraph">
              <wp:posOffset>7835900</wp:posOffset>
            </wp:positionV>
            <wp:extent cx="4942840" cy="224409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26762" t="14133" r="3207"/>
                    <a:stretch>
                      <a:fillRect/>
                    </a:stretch>
                  </pic:blipFill>
                  <pic:spPr bwMode="auto">
                    <a:xfrm>
                      <a:off x="0" y="0"/>
                      <a:ext cx="4942840" cy="2244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37DC22F" wp14:editId="4A8F6E0C">
            <wp:extent cx="4952365" cy="2257425"/>
            <wp:effectExtent l="0" t="0" r="63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2365" cy="2257425"/>
                    </a:xfrm>
                    <a:prstGeom prst="rect">
                      <a:avLst/>
                    </a:prstGeom>
                    <a:noFill/>
                  </pic:spPr>
                </pic:pic>
              </a:graphicData>
            </a:graphic>
          </wp:inline>
        </w:drawing>
      </w:r>
    </w:p>
    <w:p w:rsidR="00C244F4" w:rsidRDefault="00C244F4" w:rsidP="00C244F4">
      <w:pPr>
        <w:pStyle w:val="8ParagrafAwal-FirstParagraph"/>
        <w:spacing w:after="0"/>
        <w:ind w:firstLine="709"/>
        <w:jc w:val="center"/>
        <w:rPr>
          <w:lang w:val="en-US"/>
        </w:rPr>
      </w:pPr>
      <w:r>
        <w:rPr>
          <w:lang w:val="en-US"/>
        </w:rPr>
        <w:t xml:space="preserve">Gambar 1. </w:t>
      </w:r>
    </w:p>
    <w:p w:rsidR="00C244F4" w:rsidRDefault="00C244F4" w:rsidP="00C244F4">
      <w:pPr>
        <w:pStyle w:val="8ParagrafAwal-FirstParagraph"/>
        <w:ind w:firstLine="709"/>
        <w:jc w:val="center"/>
        <w:rPr>
          <w:lang w:val="en-US"/>
        </w:rPr>
      </w:pPr>
      <w:r>
        <w:rPr>
          <w:lang w:val="en-US"/>
        </w:rPr>
        <w:t>Grafik Deskripsi Kemampuan Literasi Sains Siswa Aspek Konteks</w:t>
      </w:r>
    </w:p>
    <w:p w:rsidR="00C244F4" w:rsidRDefault="00C244F4" w:rsidP="00496601">
      <w:pPr>
        <w:pStyle w:val="8ParagrafAwal-FirstParagraph"/>
        <w:ind w:firstLine="709"/>
        <w:rPr>
          <w:lang w:val="en-US"/>
        </w:rPr>
      </w:pPr>
      <w:r>
        <w:rPr>
          <w:lang w:val="en-US"/>
        </w:rPr>
        <w:t>Grafik di atas memperjelas bahwa kemampuan siswa dalam menjawab soal literasi sains khusunya pada aspek konteks berada pada kategori cukup. Siswa sudah mampu untuk men</w:t>
      </w:r>
      <w:r w:rsidR="00731397">
        <w:rPr>
          <w:lang w:val="en-US"/>
        </w:rPr>
        <w:t>gidentifikasi bukti ilmiah menge</w:t>
      </w:r>
      <w:r>
        <w:rPr>
          <w:lang w:val="en-US"/>
        </w:rPr>
        <w:t>nai adaptasi makhluk hidup ber</w:t>
      </w:r>
      <w:r w:rsidR="00731397">
        <w:rPr>
          <w:lang w:val="en-US"/>
        </w:rPr>
        <w:t>d</w:t>
      </w:r>
      <w:r>
        <w:rPr>
          <w:lang w:val="en-US"/>
        </w:rPr>
        <w:t xml:space="preserve">asarkan fenomena dan kejadian yang ditemukan dalam kehidupan sehari-hari, mampu menjelaskan simbiosis yang terjadi antara kupu-kupu dan petani, serta berbagai topic lainnya sudah cukup mampu diselesaikan dengan baik berdasarkan jawaban yang telah diberikan. Temuan ini menjadi landasan terkait dengan bagaimana menggunakan pengetahuan ilmiah sebagai pijakan dalam menyelesaikan masalah dan mengambil keputusan yang ditemu dalam kehidupan sehari-hari. </w:t>
      </w:r>
    </w:p>
    <w:p w:rsidR="00731397" w:rsidRPr="008970D2" w:rsidRDefault="00731397" w:rsidP="00731397">
      <w:pPr>
        <w:pStyle w:val="BodyText"/>
        <w:ind w:firstLine="0"/>
        <w:rPr>
          <w:b/>
          <w:lang w:eastAsia="id-ID"/>
        </w:rPr>
      </w:pPr>
      <w:r w:rsidRPr="008970D2">
        <w:rPr>
          <w:b/>
          <w:lang w:eastAsia="id-ID"/>
        </w:rPr>
        <w:t xml:space="preserve">Kemampuan Literasi Sains Siswa </w:t>
      </w:r>
      <w:r w:rsidR="0080687C" w:rsidRPr="008970D2">
        <w:rPr>
          <w:b/>
          <w:lang w:eastAsia="id-ID"/>
        </w:rPr>
        <w:t>SD di Sekolah Adiwiyata pada Aspek Konten</w:t>
      </w:r>
    </w:p>
    <w:p w:rsidR="0080687C" w:rsidRDefault="000579E3" w:rsidP="00731397">
      <w:pPr>
        <w:pStyle w:val="BodyText"/>
        <w:ind w:firstLine="0"/>
        <w:rPr>
          <w:lang w:eastAsia="id-ID"/>
        </w:rPr>
      </w:pPr>
      <w:r>
        <w:rPr>
          <w:lang w:eastAsia="id-ID"/>
        </w:rPr>
        <w:t xml:space="preserve">Aspek konten berkaitan dengan </w:t>
      </w:r>
      <w:r w:rsidR="00DE68C9">
        <w:rPr>
          <w:lang w:eastAsia="id-ID"/>
        </w:rPr>
        <w:t xml:space="preserve">konsep kunci yang diperlukan untuk dapat mehamai fenomena alam dan berbagai perubahan yang dilakukan terhadap alam melalui aktivitas manusia. Hasil penelitiann yang berkaitan dengan kemampuan literasi sains pada aspek konten siswa SD Adiwiyata  berdasarkan lembar pengamatan yang dilakukan selama tiga hari diperoleh hasil yang terlihat pada gambar berikut. </w:t>
      </w:r>
    </w:p>
    <w:p w:rsidR="00DE68C9" w:rsidRPr="00731397" w:rsidRDefault="00DE68C9" w:rsidP="00DE68C9">
      <w:pPr>
        <w:pStyle w:val="BodyText"/>
        <w:ind w:firstLine="0"/>
        <w:jc w:val="center"/>
        <w:rPr>
          <w:lang w:eastAsia="id-ID"/>
        </w:rPr>
      </w:pPr>
      <w:r>
        <w:rPr>
          <w:noProof/>
        </w:rPr>
        <w:drawing>
          <wp:inline distT="0" distB="0" distL="0" distR="0" wp14:anchorId="7B7DAE8D" wp14:editId="1F9E6284">
            <wp:extent cx="5009304" cy="2882348"/>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0919" cy="2889031"/>
                    </a:xfrm>
                    <a:prstGeom prst="rect">
                      <a:avLst/>
                    </a:prstGeom>
                    <a:noFill/>
                  </pic:spPr>
                </pic:pic>
              </a:graphicData>
            </a:graphic>
          </wp:inline>
        </w:drawing>
      </w:r>
    </w:p>
    <w:p w:rsidR="00DE68C9" w:rsidRDefault="00DE68C9" w:rsidP="008970D2">
      <w:pPr>
        <w:pStyle w:val="8ParagrafAwal-FirstParagraph"/>
        <w:jc w:val="center"/>
        <w:rPr>
          <w:lang w:val="en-US"/>
        </w:rPr>
      </w:pPr>
      <w:r>
        <w:rPr>
          <w:lang w:val="en-US"/>
        </w:rPr>
        <w:t xml:space="preserve">Gambar 2. Tabulasi kemampuan </w:t>
      </w:r>
      <w:r w:rsidR="006940DB">
        <w:rPr>
          <w:lang w:val="en-US"/>
        </w:rPr>
        <w:t xml:space="preserve"> </w:t>
      </w:r>
      <w:r>
        <w:rPr>
          <w:lang w:val="en-US"/>
        </w:rPr>
        <w:t>literasi sains pada aspek konten</w:t>
      </w:r>
    </w:p>
    <w:p w:rsidR="00E32FA6" w:rsidRDefault="00DE68C9" w:rsidP="00496601">
      <w:pPr>
        <w:pStyle w:val="8ParagrafAwal-FirstParagraph"/>
        <w:ind w:firstLine="709"/>
        <w:rPr>
          <w:szCs w:val="24"/>
          <w:lang w:val="en-US"/>
        </w:rPr>
      </w:pPr>
      <w:r>
        <w:rPr>
          <w:lang w:val="en-US"/>
        </w:rPr>
        <w:t>Grafik di atas menggambarkan bahwa kemampuan literasi sains pada aspek konten siswa SD Adiwiyata stabil berada pada skala 3 dari 3 s</w:t>
      </w:r>
      <w:r w:rsidR="00E32FA6">
        <w:rPr>
          <w:lang w:val="en-US"/>
        </w:rPr>
        <w:t xml:space="preserve">kala pengukuran yang disajikan  dengan kategori selalu Nampak. Hal tersebut menunjukkan bahwa kemampuan literasi sains siswa pada aspek konten sebagaimana kembar pengamatan terkait dengan kegiatan-kegiatan atau perilaku yang terlihat sudah masuk dalam kategori selalu Nampak atau sudah membudaya. Pernyataan tersebut diperkuat dengan beberapa item pengamatan sebagaimana terterera pada grafik di atas. Rata-rata seluruh aspek konten berada pada jenjang skala 3 dengan </w:t>
      </w:r>
      <w:r w:rsidR="00E32FA6">
        <w:rPr>
          <w:i/>
          <w:lang w:val="en-US"/>
        </w:rPr>
        <w:t xml:space="preserve">range </w:t>
      </w:r>
      <w:r w:rsidR="00E32FA6">
        <w:rPr>
          <w:lang w:val="en-US"/>
        </w:rPr>
        <w:t xml:space="preserve">skala 1-3. Kemampuan literasi sains pada aspek konten untuk siswa SD di Sekolah Adiwiyata berada pada kategori tinggi sebagaimana norma kategorisai aspek konten yang berada pada rentang </w:t>
      </w:r>
      <w:bookmarkStart w:id="1" w:name="_Hlk25295959"/>
      <w:r w:rsidR="00E32FA6">
        <w:rPr>
          <w:rFonts w:ascii="Times New Roman" w:hAnsi="Times New Roman"/>
          <w:szCs w:val="24"/>
        </w:rPr>
        <w:t>≥ 30,3</w:t>
      </w:r>
      <w:bookmarkEnd w:id="1"/>
      <w:r w:rsidR="00E32FA6">
        <w:rPr>
          <w:rFonts w:ascii="Times New Roman" w:hAnsi="Times New Roman"/>
          <w:szCs w:val="24"/>
          <w:lang w:val="en-US"/>
        </w:rPr>
        <w:t xml:space="preserve">. </w:t>
      </w:r>
      <w:r w:rsidR="00AD03F0" w:rsidRPr="00AD03F0">
        <w:rPr>
          <w:szCs w:val="24"/>
          <w:lang w:val="en-US"/>
        </w:rPr>
        <w:t xml:space="preserve">Tercapainya aspek konten literasi sains pada kategori tinggi untuk siswa sekolah Adiwiyata bermakna bahwa secara aplikatif fenomena-fenomena sains yang aplikatif dilakukan sehari-hari telah menjadi budaya </w:t>
      </w:r>
      <w:r w:rsidR="00AD03F0">
        <w:rPr>
          <w:szCs w:val="24"/>
          <w:lang w:val="en-US"/>
        </w:rPr>
        <w:t xml:space="preserve">di kalangan siswa Sekolah Adiwiyata terkait dengan kesadaran dalam menjaga aspek-aspek pribadi, kelompok, dan lingkungan tempat mereka tinggal. </w:t>
      </w:r>
    </w:p>
    <w:p w:rsidR="00AD03F0" w:rsidRPr="00B40EE5" w:rsidRDefault="00AD03F0" w:rsidP="00AD03F0">
      <w:pPr>
        <w:pStyle w:val="BodyText"/>
        <w:ind w:firstLine="0"/>
        <w:rPr>
          <w:b/>
          <w:lang w:eastAsia="id-ID"/>
        </w:rPr>
      </w:pPr>
      <w:r w:rsidRPr="00B40EE5">
        <w:rPr>
          <w:b/>
          <w:lang w:eastAsia="id-ID"/>
        </w:rPr>
        <w:t xml:space="preserve">Kemampuan Literasi Sains Siswa SD di Sekolah Adwiyata pada Aspek Sikap. </w:t>
      </w:r>
    </w:p>
    <w:p w:rsidR="00AD03F0" w:rsidRDefault="00332E37" w:rsidP="00B40EE5">
      <w:pPr>
        <w:pStyle w:val="BodyText"/>
        <w:ind w:firstLine="720"/>
        <w:rPr>
          <w:lang w:eastAsia="id-ID"/>
        </w:rPr>
      </w:pPr>
      <w:r>
        <w:rPr>
          <w:lang w:eastAsia="id-ID"/>
        </w:rPr>
        <w:t xml:space="preserve">Hasil penelitian terkait kemampuan literasi sains siswa SD di Sekolah Adiwiyata memiliki kategroi yang sama dengan aspek konten. Pada aspek sikap, peneliti menyajikan beberapa permasalahan yang kemudian disusun kedalam angket yang berisi tentang pernyataan berkaitan dengan lingkungan dan problematika alam yang erat kaitannya dengan kehidupan sehari-hari. Secara umum, tabulasi data hasil penelitian tergambar pada grafik berikut. </w:t>
      </w:r>
    </w:p>
    <w:p w:rsidR="00332E37" w:rsidRPr="00AD03F0" w:rsidRDefault="00110A31" w:rsidP="00B40EE5">
      <w:pPr>
        <w:pStyle w:val="BodyText"/>
        <w:ind w:firstLine="0"/>
        <w:jc w:val="center"/>
        <w:rPr>
          <w:lang w:eastAsia="id-ID"/>
        </w:rPr>
      </w:pPr>
      <w:r>
        <w:rPr>
          <w:noProof/>
        </w:rPr>
        <w:drawing>
          <wp:inline distT="0" distB="0" distL="0" distR="0" wp14:anchorId="1A362F35" wp14:editId="2BBDC225">
            <wp:extent cx="3820496" cy="2494722"/>
            <wp:effectExtent l="0" t="0" r="889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42810" cy="2509293"/>
                    </a:xfrm>
                    <a:prstGeom prst="rect">
                      <a:avLst/>
                    </a:prstGeom>
                    <a:noFill/>
                  </pic:spPr>
                </pic:pic>
              </a:graphicData>
            </a:graphic>
          </wp:inline>
        </w:drawing>
      </w:r>
    </w:p>
    <w:p w:rsidR="00B40EE5" w:rsidRPr="00B40EE5" w:rsidRDefault="00B40EE5" w:rsidP="00B40EE5">
      <w:pPr>
        <w:pStyle w:val="8ParagrafAwal-FirstParagraph"/>
        <w:jc w:val="center"/>
        <w:rPr>
          <w:lang w:val="en-US"/>
        </w:rPr>
      </w:pPr>
      <w:r>
        <w:rPr>
          <w:lang w:val="en-US"/>
        </w:rPr>
        <w:t>Gambar 3. Grafik kemampuan Literasi Sains Aspek Sikap</w:t>
      </w:r>
    </w:p>
    <w:p w:rsidR="00B40EE5" w:rsidRDefault="00B40EE5" w:rsidP="00496601">
      <w:pPr>
        <w:pStyle w:val="8ParagrafAwal-FirstParagraph"/>
        <w:ind w:firstLine="709"/>
        <w:rPr>
          <w:lang w:val="en-US"/>
        </w:rPr>
      </w:pPr>
      <w:r>
        <w:rPr>
          <w:lang w:val="en-US"/>
        </w:rPr>
        <w:t xml:space="preserve">Grafik di atas merupakan gamabaran kemampuan literasi sains </w:t>
      </w:r>
      <w:r w:rsidR="00453308">
        <w:rPr>
          <w:lang w:val="en-US"/>
        </w:rPr>
        <w:t xml:space="preserve"> aspek sikap pada siswa di Sekolah Adiwiyata. Berdasarkan grafik tersebut terlihat bahwa rata-rata jumlah siswa yang menjawab dengan pernyataan tidak setuju pada ketiga ranah aspek sikap berjumlah 3 orang atau setara dengan 12%. </w:t>
      </w:r>
      <w:r w:rsidR="00942FB7">
        <w:rPr>
          <w:lang w:val="en-US"/>
        </w:rPr>
        <w:t xml:space="preserve"> Demikian juga untuk jawaban kurang setuju dan sangat setuju, masing-masing berjumlah 9 orang atau 36% untuk yang menjawab kurang setuju, dan 13 orang atau 52% siswa menjawab setuju. Pengkategorisasian kemampuan literasi sains pada aspek sikap sebagaimana ditunjukkan pada grafik di atas menunjukkan rerata perolehan skro dari masing-masing item di jawab oleh 25 siswa sebersar 60 poin. Merujuk pada norma kategorisasi sebagaimana yang tertera pada tabel perhtiungan norma kategorisasi menunjukkan bahwa kemampuan siswa sekolah Adiwiyata pada aspek sikap berada pada rentang nilai X &gt; 53,6 yang berarti kemampuan aspek sikap literasi sains berada pada kategori tinggi. Tingginya perole</w:t>
      </w:r>
      <w:r w:rsidR="008A4EDD">
        <w:rPr>
          <w:lang w:val="en-US"/>
        </w:rPr>
        <w:t>han ini, diperoleh karena SD Ad</w:t>
      </w:r>
      <w:r w:rsidR="00942FB7">
        <w:rPr>
          <w:lang w:val="en-US"/>
        </w:rPr>
        <w:t>iw</w:t>
      </w:r>
      <w:r w:rsidR="008A4EDD">
        <w:rPr>
          <w:lang w:val="en-US"/>
        </w:rPr>
        <w:t>i</w:t>
      </w:r>
      <w:r w:rsidR="00942FB7">
        <w:rPr>
          <w:lang w:val="en-US"/>
        </w:rPr>
        <w:t xml:space="preserve">yata menyajikan berbagai kegiatan menarik dan sejumlah papan informasi yang </w:t>
      </w:r>
      <w:r w:rsidR="008A4EDD">
        <w:rPr>
          <w:lang w:val="en-US"/>
        </w:rPr>
        <w:t>bisa</w:t>
      </w:r>
      <w:r w:rsidR="00942FB7">
        <w:rPr>
          <w:lang w:val="en-US"/>
        </w:rPr>
        <w:t xml:space="preserve"> ditemukan oleh siswa di setiap sudut sekolah. Sehingga, ini lah yang menjadi salah satu alasan kuat yang membentuk sikap literasi sains siswa. </w:t>
      </w:r>
    </w:p>
    <w:p w:rsidR="00942FB7" w:rsidRPr="008970D2" w:rsidRDefault="00942FB7" w:rsidP="00942FB7">
      <w:pPr>
        <w:pStyle w:val="BodyText"/>
        <w:ind w:firstLine="0"/>
        <w:rPr>
          <w:b/>
          <w:lang w:eastAsia="id-ID"/>
        </w:rPr>
      </w:pPr>
      <w:r w:rsidRPr="008970D2">
        <w:rPr>
          <w:b/>
          <w:lang w:eastAsia="id-ID"/>
        </w:rPr>
        <w:t>Pembahasan</w:t>
      </w:r>
    </w:p>
    <w:p w:rsidR="00942FB7" w:rsidRDefault="00A237B7" w:rsidP="00E87A7F">
      <w:pPr>
        <w:pStyle w:val="BodyText"/>
        <w:ind w:firstLine="720"/>
        <w:rPr>
          <w:lang w:eastAsia="id-ID"/>
        </w:rPr>
      </w:pPr>
      <w:r>
        <w:rPr>
          <w:lang w:eastAsia="id-ID"/>
        </w:rPr>
        <w:t xml:space="preserve">Penelitian ini dilakukan dengan tujuan untuk mendeskripsikan kemampuan literasi sains siswa SD di Sekolah Adiwiyata pada tiga aspek, yakni </w:t>
      </w:r>
      <w:r w:rsidR="002D30DB">
        <w:rPr>
          <w:lang w:eastAsia="id-ID"/>
        </w:rPr>
        <w:t>k</w:t>
      </w:r>
      <w:r>
        <w:rPr>
          <w:lang w:eastAsia="id-ID"/>
        </w:rPr>
        <w:t xml:space="preserve">onten, </w:t>
      </w:r>
      <w:r w:rsidR="002D30DB">
        <w:rPr>
          <w:lang w:eastAsia="id-ID"/>
        </w:rPr>
        <w:t>k</w:t>
      </w:r>
      <w:r>
        <w:rPr>
          <w:lang w:eastAsia="id-ID"/>
        </w:rPr>
        <w:t xml:space="preserve">onteks, dan </w:t>
      </w:r>
      <w:r w:rsidR="002D30DB">
        <w:rPr>
          <w:lang w:eastAsia="id-ID"/>
        </w:rPr>
        <w:t>s</w:t>
      </w:r>
      <w:r>
        <w:rPr>
          <w:lang w:eastAsia="id-ID"/>
        </w:rPr>
        <w:t xml:space="preserve">ikap. </w:t>
      </w:r>
      <w:r w:rsidR="002D30DB">
        <w:rPr>
          <w:lang w:eastAsia="id-ID"/>
        </w:rPr>
        <w:t xml:space="preserve"> </w:t>
      </w:r>
      <w:r w:rsidR="00653656">
        <w:rPr>
          <w:lang w:eastAsia="id-ID"/>
        </w:rPr>
        <w:t xml:space="preserve">Selain itu, penelitian ini dilaksanakan guna memberikan informasi terkait dengan kompetensi keterampilan abad 21 yang sudah seharusnya dimiliki oleh generasi muda Indonesia, khususnya siswa sekolah dasar yang merupakan cikal bakal generasi yang akan menghadapi abad 21. Literasi sains menjadi salah satu kompetensi yang harus dimiliki pada abad 21 karena literasi bukan hanya berkaitan dengan kemampuan menghafal banyak pengertian, namun bagaimana mengaplikasikan dan menjadikan penetahuan yang diperoleh untuk memecahkan permasalahan kehidupan sehari-hari berdasarkan konsep-konsep sains. Salah satu hal sederhana pentingnya penelitian ini diangkat adalah bahwa </w:t>
      </w:r>
      <w:r w:rsidR="00100612">
        <w:rPr>
          <w:lang w:eastAsia="id-ID"/>
        </w:rPr>
        <w:t xml:space="preserve"> literasi sains perlu ditanamkan sedini mungkin, agar siswa terbiasa dengan mengaplikasikan konsep sains sebagai pemecahan masalah yang berkaitan dengan kehidupan seahri. Sehingga, ilmu yang diperoleh di sekolah teraplikasikan dengan baik. </w:t>
      </w:r>
    </w:p>
    <w:p w:rsidR="00100612" w:rsidRDefault="00100612" w:rsidP="00E87A7F">
      <w:pPr>
        <w:pStyle w:val="BodyText"/>
        <w:ind w:firstLine="720"/>
        <w:rPr>
          <w:lang w:eastAsia="id-ID"/>
        </w:rPr>
      </w:pPr>
      <w:r>
        <w:rPr>
          <w:lang w:eastAsia="id-ID"/>
        </w:rPr>
        <w:t xml:space="preserve">Hasil penelitian dari ketiga aspek literasi sains pada sekolah Adiwiyata diperoleh bahwa </w:t>
      </w:r>
      <w:r w:rsidR="00E87A7F">
        <w:rPr>
          <w:lang w:eastAsia="id-ID"/>
        </w:rPr>
        <w:t>dalam hal mengidentifikasi permasalahan dan mengaitkan keterhubungan satu dengan yang lainnya, siswa sekolah Adiwiyata sudah memiliki kecakapan terutama dalam mengungkapkan alasan – alasan atau penyebab yang terjadi sebagaimana topik pembahasan yang disajikan. hal ini dapat dimaknai bahwa sekolah Adiwiyata memiliki keunggulan yang menyajikan peduli lingkungan sebagai salah satu kunci utama yang tidak dimiliki oleh sekolah yang tidak adiwiyata. Pengetahuan atau penguasaan konteks yang berkaitan dengan alam akan menjadikan siswa memiliki pengetahuan yang luas terkaid dengan eksplore diri yang akan mereka dapatkan</w:t>
      </w:r>
      <w:r w:rsidR="001917AD">
        <w:rPr>
          <w:lang w:eastAsia="id-ID"/>
        </w:rPr>
        <w:t xml:space="preserve"> </w:t>
      </w:r>
      <w:r w:rsidR="001917AD">
        <w:rPr>
          <w:lang w:eastAsia="id-ID"/>
        </w:rPr>
        <w:fldChar w:fldCharType="begin" w:fldLock="1"/>
      </w:r>
      <w:r w:rsidR="001917AD">
        <w:rPr>
          <w:lang w:eastAsia="id-ID"/>
        </w:rPr>
        <w:instrText>ADDIN CSL_CITATION {"citationItems":[{"id":"ITEM-1","itemData":{"ISSN":"16483898","abstract":"This study describes a research focused on science teachers’ evaluation of natural science literacy of research and comprehension competence in their students. Natural science literacy of research and comprehension competence is defined as an essential part of science literacy-as a competence to find, evaluate and use science knowledge stored on the Internet (as a part of extended memory) to solve a problem in a science class and to construct students’ own science knowledge. Online science literacy was defined in terms of the following aspects: basic skills (which include computer basics, web searching basics, and general navigation basics), locating information, finding a suitable website, locating the information on the website, critically evaluating the information according to its reliability and according to its relevance for the science class assessment. The data were collected through a 53-item Likert-scale questionnaire. The items were adopted from the TICA questionnaire for assessing students’ general online reading competence. Science teachers from 5 different levels of pre-university education assessed their students’ online science literacy in order to evaluate their students’ competence to use the Internet as a storage and as a source of knowledge for teaching/learning process in the science class, to re-evaluate their online teaching practice and the need for implementation of natural science literacy of research and comprehension competence in their science curriculum.","author":[{"dropping-particle":"","family":"Aberšek","given":"Metka Kordigel","non-dropping-particle":"","parse-names":false,"suffix":""},{"dropping-particle":"","family":"Dolenc","given":"Kosta","non-dropping-particle":"","parse-names":false,"suffix":""},{"dropping-particle":"","family":"Flogie","given":"Andrej","non-dropping-particle":"","parse-names":false,"suffix":""},{"dropping-particle":"","family":"Koritnik","given":"Ana","non-dropping-particle":"","parse-names":false,"suffix":""}],"container-title":"Journal of Baltic Science Education","id":"ITEM-1","issue":"4","issued":{"date-parts":[["2015"]]},"page":"460-473","title":"New natural science literacies of online research and comprehension: To teach or not to teach","type":"article-journal","volume":"14"},"uris":["http://www.mendeley.com/documents/?uuid=4a896800-3899-4974-9ac4-54c2f161e138"]},{"id":"ITEM-2","itemData":{"DOI":"10.5901/jesr.2013.v3n1p265","abstract":"Scientific iiteracy is one of the few issues that the ieaders of the European Union and the United States of America accepted without reservation to he agood thing and that having more ofit wiii benefit aii societies. it is aiso a concept considered to he generai to the extent that it has a wide variegr ofrneanings. Therefore this paper sought to ash and answer three questions about this important concept. The first question is ‘what is scientific iiteracy?’I Here, the paper presented a conceptuai overview and oflfered reasons for drflerences in definitions as weii as indicating different types ofscientific iiteracy . Secondiyg. the paper asked: ‘how important is scientific iiteracy?i Among other ezpianations ofl'ered_for its importance is that scientific iiteracy is necessary hecause it heips citizens to comprehend the potentiais and ahuses of science. it aiso helps citizens to make informed decisions about hasic everyday prohierns and vote on the numerous issues that require some science itnowiedge. it is argued as weii that scientific iiteracy is importantfor personai fi.a_'fiiirnent. Finaifv answering the third question ‘what are the strategies for improving scientific iiteraty?, important and practicahie strategies were offered in this ppaper.","author":[{"dropping-particle":"","family":"Jgunkola","given":"Babalola J.","non-dropping-particle":"","parse-names":false,"suffix":""},{"dropping-particle":"","family":"Ogunkola","given":"Babalola J.","non-dropping-particle":"","parse-names":false,"suffix":""}],"container-title":"Journal of Educationai and Sociai Research","id":"ITEM-2","issue":"1","issued":{"date-parts":[["2013"]]},"page":"265-274","title":"Scientific Literacy: Conceptual Overview, Importance and Strategies for Improvement","type":"article-journal","volume":"3"},"uris":["http://www.mendeley.com/documents/?uuid=789c8bb9-d750-4439-ba1d-65c50316aeb0"]},{"id":"ITEM-3","itemData":{"ISSN":"13063065","abstract":"In the United States and around the world, calls for educational reform stress the need for a scientifically literate population, prepared for the twenty-first century workforce. These calls have translated into new curricula, which in isolation, are not enough? Teachers play an essential role in the development of scientifically literate citizens. Their purposes for teaching science act as filters for acceptable learning and teaching activities. This paper examines the congruence of eight private school teachers' purposes for teaching science, and aspects of scientific literacy in the Middle Eastern country of Lebanon. Findings are discussed in light of contextual factors that inform the operationalization of scientific literacy in practice. © 2009 IJESE.","author":[{"dropping-particle":"","family":"Dani","given":"Danielle","non-dropping-particle":"","parse-names":false,"suffix":""}],"container-title":"International Journal of Environmental and Science Education","id":"ITEM-3","issue":"3","issued":{"date-parts":[["2009"]]},"page":"289-299","title":"Scientific literacy and purposes for teaching science: A case study of Lebanese private school teachers","type":"article-journal","volume":"4"},"uris":["http://www.mendeley.com/documents/?uuid=f26a183a-86e3-4bf7-b04c-feb54431c1dd"]},{"id":"ITEM-4","itemData":{"ISSN":"13063065","abstract":"The late 20th century and beginning of 21st century have witnessed unprecedented rapid economic development due to advances in technology and globalization. In response to this development, a renewed call for science literacy has become louder in the USA and many other countries. Common to all science education reforms around the world is emphasis on achieving science literacy by all children before high school graduation. This paper first reviews definitions of science literacy in the literature; it then examines the status of science literacy in the USA and other countries. Following the above, this paper then presents a new notion of science literacy as life-long participation in science - science and the public. This new notion expands science literacy to recognize it as both extrinsic and intrinsic, and as a state and a life-long process, which expands science literacy from school science to ongoing participation in science activities in society by citizens of all ages. This paper finally discusses two necessary approaches to achieving the expanded science literacy that include bridging formal and informal science education, and training science and the public educators through graduate programs on science and the public. © 2009 IJESE.","author":[{"dropping-particle":"","family":"Liu","given":"Xiufeng","non-dropping-particle":"","parse-names":false,"suffix":""}],"container-title":"International Journal of Environmental and Science Education","id":"ITEM-4","issue":"3","issued":{"date-parts":[["2009"]]},"page":"301-311","title":"Beyond science literacy: Science and the public","type":"article-journal","volume":"4"},"uris":["http://www.mendeley.com/documents/?uuid=0cf89b8d-0e5d-4648-a7b2-f33c110a3059"]},{"id":"ITEM-5","itemData":{"ISSN":"13063065","abstract":"Education and political leaders worldwide are increasingly placing emphasis on developing scientific literacy. This also is the case in Thailand with science education influenced by educational reform in 1999, in which the goals of science education are shaped by the notion of scientific literacy. Thai science education emphasizes the scientific knowledge, the nature of science, and the relationship between science technology and society. Although the school science curriculum features scientific literacy, Thai science education research, articles, national tests, and teaching and learning emphasize scientific achievement with little concern about science as a way of knowing. However, some attempts at developing scientific literacy have been made recently. Some school science curricula and teaching and learning has tried to organize science learning emphasizing the relationship between science, technology and society based on the Thai context. Such cases seek to develop students' scientific literacy through local wisdom; specifically, King Bhumibol Adulyadej's philosophy of sufficiency economy, moral infusion, and the Buddhism way of life. This paper considers interpretations of the term scientific literacy in Thailand, and examines the implications of this for science education. © 2009 IJESE.","author":[{"dropping-particle":"","family":"Yuenyong","given":"Chokchai","non-dropping-particle":"","parse-names":false,"suffix":""},{"dropping-particle":"","family":"Narjaikaew","given":"Pattawan","non-dropping-particle":"","parse-names":false,"suffix":""}],"container-title":"International Journal of Environmental and Science Education","id":"ITEM-5","issue":"3","issued":{"date-parts":[["2009"]]},"page":"335-349","title":"Scientific literacy and thailand science education","type":"article-journal","volume":"4"},"uris":["http://www.mendeley.com/documents/?uuid=87540549-79c7-4eb3-a6f1-1a0deccc40f5"]}],"mendeley":{"formattedCitation":"(Aberšek et al., 2015; Dani, 2009; Jgunkola &amp; Ogunkola, 2013; Liu, 2009; Yuenyong &amp; Narjaikaew, 2009)","plainTextFormattedCitation":"(Aberšek et al., 2015; Dani, 2009; Jgunkola &amp; Ogunkola, 2013; Liu, 2009; Yuenyong &amp; Narjaikaew, 2009)","previouslyFormattedCitation":"(Aberšek et al., 2015; Dani, 2009; Jgunkola &amp; Ogunkola, 2013; Liu, 2009; Yuenyong &amp; Narjaikaew, 2009)"},"properties":{"noteIndex":0},"schema":"https://github.com/citation-style-language/schema/raw/master/csl-citation.json"}</w:instrText>
      </w:r>
      <w:r w:rsidR="001917AD">
        <w:rPr>
          <w:lang w:eastAsia="id-ID"/>
        </w:rPr>
        <w:fldChar w:fldCharType="separate"/>
      </w:r>
      <w:r w:rsidR="001917AD" w:rsidRPr="00AE52AA">
        <w:rPr>
          <w:noProof/>
          <w:lang w:eastAsia="id-ID"/>
        </w:rPr>
        <w:t>(Aberšek et al., 2015; Dani, 2009; Jgunkola &amp; Ogunkola, 2013; Liu, 2009; Yuenyong &amp; Narjaikaew, 2009)</w:t>
      </w:r>
      <w:r w:rsidR="001917AD">
        <w:rPr>
          <w:lang w:eastAsia="id-ID"/>
        </w:rPr>
        <w:fldChar w:fldCharType="end"/>
      </w:r>
      <w:r w:rsidR="00E87A7F">
        <w:rPr>
          <w:lang w:eastAsia="id-ID"/>
        </w:rPr>
        <w:t xml:space="preserve">. Secara kasat mata, siswa sekolah Adiwiyata tidak hanya dibekali pengetahuan konseptual, namun juga dibekali dengan pengetahuan </w:t>
      </w:r>
      <w:r w:rsidR="00051B42">
        <w:rPr>
          <w:lang w:eastAsia="id-ID"/>
        </w:rPr>
        <w:t>fak</w:t>
      </w:r>
      <w:r w:rsidR="00E87A7F">
        <w:rPr>
          <w:lang w:eastAsia="id-ID"/>
        </w:rPr>
        <w:t xml:space="preserve">tual.  </w:t>
      </w:r>
      <w:r w:rsidR="00051B42">
        <w:rPr>
          <w:lang w:eastAsia="id-ID"/>
        </w:rPr>
        <w:t>Sehingga siswa terbiasa menggunakan pengalamannya untuk menyelesaikan permasalahan pada konteks-kon</w:t>
      </w:r>
      <w:r w:rsidR="00DC36B5">
        <w:rPr>
          <w:lang w:eastAsia="id-ID"/>
        </w:rPr>
        <w:t>teks yang baru</w:t>
      </w:r>
      <w:r w:rsidR="00AE52AA">
        <w:rPr>
          <w:lang w:eastAsia="id-ID"/>
        </w:rPr>
        <w:t>.</w:t>
      </w:r>
      <w:r w:rsidR="00051B42">
        <w:rPr>
          <w:lang w:eastAsia="id-ID"/>
        </w:rPr>
        <w:t xml:space="preserve"> </w:t>
      </w:r>
    </w:p>
    <w:p w:rsidR="003E605F" w:rsidRDefault="00FB0A67" w:rsidP="00E87A7F">
      <w:pPr>
        <w:pStyle w:val="BodyText"/>
        <w:ind w:firstLine="720"/>
        <w:rPr>
          <w:lang w:eastAsia="id-ID"/>
        </w:rPr>
      </w:pPr>
      <w:r>
        <w:rPr>
          <w:lang w:eastAsia="id-ID"/>
        </w:rPr>
        <w:t>Kemampuan siswa sekolah adiwiyata dalam mengidentifikasi konteks-konteks sains merupakan kegiatan sit</w:t>
      </w:r>
      <w:r w:rsidR="003A41FF">
        <w:rPr>
          <w:lang w:eastAsia="id-ID"/>
        </w:rPr>
        <w:t>uasi nyata yang tidak secara kh</w:t>
      </w:r>
      <w:r>
        <w:rPr>
          <w:lang w:eastAsia="id-ID"/>
        </w:rPr>
        <w:t>usu</w:t>
      </w:r>
      <w:r w:rsidR="003A41FF">
        <w:rPr>
          <w:lang w:eastAsia="id-ID"/>
        </w:rPr>
        <w:t>s</w:t>
      </w:r>
      <w:r>
        <w:rPr>
          <w:lang w:eastAsia="id-ID"/>
        </w:rPr>
        <w:t xml:space="preserve"> diangkat dari materi, melainkan diangkar dari kehidupan sehari-hari. Sehingga aspek konteks yang saat ini telah dimiliki oleh siswa Sekolah Adiwiyata bukan hanya merujuk pada subjek materi yang diajarkan tetapi tindakan yang dilakukan dan diberikan sesuai dengan situasi nyata lingkungan siswa yang akan memberikan pengalaman menarik untuk menerapkan kon</w:t>
      </w:r>
      <w:r w:rsidR="0016377B">
        <w:rPr>
          <w:lang w:eastAsia="id-ID"/>
        </w:rPr>
        <w:t xml:space="preserve">sep-konsep sains dalam kehidupan </w:t>
      </w:r>
      <w:r w:rsidR="0016377B">
        <w:rPr>
          <w:lang w:eastAsia="id-ID"/>
        </w:rPr>
        <w:fldChar w:fldCharType="begin" w:fldLock="1"/>
      </w:r>
      <w:r w:rsidR="0016377B">
        <w:rPr>
          <w:lang w:eastAsia="id-ID"/>
        </w:rPr>
        <w:instrText>ADDIN CSL_CITATION {"citationItems":[{"id":"ITEM-1","itemData":{"DOI":"10.1002/sce.10066","ISSN":"00368326","abstract":"This paper draws upon a distinction between fundamental and derived senses of literacy to show that conceptions of scientific literacy attend to the derived sense but tend to neglect the fundamental sense. In doing so, they fail to address a central component of scientific literacy. A notion of literacy in its fundamental sense is elaborated and contrasted to a simple view of reading and writing that still has much influence on literacy instruction in schools and, we believe, is widely assumed in science education. We make suggestions about how scientific literacy would be viewed differently if the fundamental sense of literacy were taken seriously and explore some educational implications of attending to literacy in its fundamental sense when teaching science. © 2003 Wiley Periodicals, Inc.","author":[{"dropping-particle":"","family":"Norris","given":"Stephen P.","non-dropping-particle":"","parse-names":false,"suffix":""},{"dropping-particle":"","family":"Phillips","given":"Linda M.","non-dropping-particle":"","parse-names":false,"suffix":""}],"container-title":"Science Education","id":"ITEM-1","issue":"2","issued":{"date-parts":[["2003"]]},"page":"224-240","title":"How Literacy in Its Fundamental Sense Is Central to Scientific Literacy","type":"article-journal","volume":"87"},"uris":["http://www.mendeley.com/documents/?uuid=fc67d782-c639-41c3-abe9-4ea5a3b4a942"]},{"id":"ITEM-2","itemData":{"abstract":"This study aims to express students'environmental literacy profile in school-based nature and in school that implement the Adiwiyata program. This research was conducted with descriptive method through an intangibles survey in two schools; school-based nature and Adiwiyata regular school in the city of Bogor. Data Collecting uses the questions of PISA 2006 scientific literacy environment. This questions intend to measure environmental knowledge, the questionnaires and interviews intend to measure attitudes, awareness, responsibility and participation of students to environmental problems. The results showed that the students'level of PISA environmental literacy of school-based nature and in school that implement the Adiwiyata program are still in the level of consciousness, not at the level of behavior. Mastery of knowledge is still low at 35% and the average score of the attitude 54%. The students' awareness is still low because their environmental knowledge is also still low. The learning process that does not exploit the capabilities of students' science process was suspected as one of the causes of students'low achievement of knowledge acquisition environment. Internal and the family environmental factors are also influence the results , as the support of school infrastructure is very strong. 1. PENDAHULUAN Masalah serius yang tengah dihadapi dunia saat ini adalah masalah penurunan kualitas lingkungan hidup yang berimbas pada kualitas hidup penduduk Bumi. Lingkungan alam global menghadapi tekanan yang terus meningkat. Ledakan jumlah penduduk yang terus meningkat merupakan penyebab utama yang berakibat meningkatnya permintaan kebutuhan manusia akan makanan, energi, dan perluasan lahan pemukiman. Permintaan diwujudkan dengan tereduksinya hutan, krisis sumber air bersih, kehilangan keanekaragaman hayati, krisis cadangan energi, polusi udara, polusi air dan polusi tanah. Menipisnya perikanan di dunia, udara yang tidak sehat untuk bernapas, peningkatan produksi gas rumah kaca yang mengakibatkan terjadinya pemanasan global, dan adanya kesenjangan dalam sumber daya keuangan di seluruh dunia (OECD, 2011). Gaya hidup yang konsumtif ikut berpengaruh kuat. Eksploitasi sumber daya alam sudah tidak terkendali untuk memenuhi hasrat dan keinginan hari ini tanpa memikirkan masa depan generasi yang akan datang dengan mengatasnamakan pembangunan. Upaya pemerintah dan masyarakat Indonesia dalam menyelenggarakan pendidikan lingkungan agar generasi baru bangsanya menjad…","author":[{"dropping-particle":"","family":"Susilastri","given":"Susi Dwi","non-dropping-particle":"","parse-names":false,"suffix":""},{"dropping-particle":"","family":"Rustaman","given":"Nuryani Y","non-dropping-particle":"","parse-names":false,"suffix":""}],"id":"ITEM-2","issued":{"date-parts":[["2015"]]},"page":"263-6","title":"Students'environmental Literacy Profile in School-Based Nature and in School that Implement the Adiwiyata Program","type":"article-journal"},"uris":["http://www.mendeley.com/documents/?uuid=ebd3412f-e671-46f6-ae9e-9818f6d6dcac"]},{"id":"ITEM-3","itemData":{"DOI":"10.5901/jesr.2013.v3n1p265","abstract":"Scientific iiteracy is one of the few issues that the ieaders of the European Union and the United States of America accepted without reservation to he agood thing and that having more ofit wiii benefit aii societies. it is aiso a concept considered to he generai to the extent that it has a wide variegr ofrneanings. Therefore this paper sought to ash and answer three questions about this important concept. The first question is ‘what is scientific iiteracy?’I Here, the paper presented a conceptuai overview and oflfered reasons for drflerences in definitions as weii as indicating different types ofscientific iiteracy . Secondiyg. the paper asked: ‘how important is scientific iiteracy?i Among other ezpianations ofl'ered_for its importance is that scientific iiteracy is necessary hecause it heips citizens to comprehend the potentiais and ahuses of science. it aiso helps citizens to make informed decisions about hasic everyday prohierns and vote on the numerous issues that require some science itnowiedge. it is argued as weii that scientific iiteracy is importantfor personai fi.a_'fiiirnent. Finaifv answering the third question ‘what are the strategies for improving scientific iiteraty?, important and practicahie strategies were offered in this ppaper.","author":[{"dropping-particle":"","family":"Jgunkola","given":"Babalola J.","non-dropping-particle":"","parse-names":false,"suffix":""},{"dropping-particle":"","family":"Ogunkola","given":"Babalola J.","non-dropping-particle":"","parse-names":false,"suffix":""}],"container-title":"Journal of Educationai and Sociai Research","id":"ITEM-3","issue":"1","issued":{"date-parts":[["2013"]]},"page":"265-274","title":"Scientific Literacy: Conceptual Overview, Importance and Strategies for Improvement","type":"article-journal","volume":"3"},"uris":["http://www.mendeley.com/documents/?uuid=789c8bb9-d750-4439-ba1d-65c50316aeb0"]},{"id":"ITEM-4","itemData":{"ISSN":"13063065","abstract":"This paper sets out to provide an overview of scientific literacy specifically related to whether emphasis is placed on the 'science' or the 'literacy' aspect, accepting that literacy, wherever used, is wider than simply reading and writing. It does this from a general rather than a country perspective. The emphasis in giving meaning to scientific literacy is placed on the literacy component in recognition of the trend towards relating scientific literacy to skills and values appropriate for a responsible citizen. Rejected is a consideration that scientific literacy is related to an emphasis on the acquisition of content and this is especially considered, noting the social bias and cultural embedding of science. The emphasis on enhancing scientific literacy is placed on an appreciation of the nature of science, the development of personal attributes and the acquisition of socioscientific skills and values. Furthermore, in teaching towards this view of scientific literacy, a key component is seen as relevance and a model of relevance for science teaching is put forward based on relevance being seen from two perspectives. Relevance from both perspectives is very much geared to the view that scientific literacy is best taught by seeing science education as 'education through science' as opposed to 'science through education.' © 2009 IJESE.","author":[{"dropping-particle":"","family":"Holbrook","given":"Jack","non-dropping-particle":"","parse-names":false,"suffix":""},{"dropping-particle":"","family":"Rannikmae","given":"Miia","non-dropping-particle":"","parse-names":false,"suffix":""}],"container-title":"International Journal of Environmental and Science Education","id":"ITEM-4","issue":"3","issued":{"date-parts":[["2009"]]},"page":"275-288","title":"The meaning of scientific literacy","type":"article-journal","volume":"4"},"uris":["http://www.mendeley.com/documents/?uuid=ff82e00f-9f8a-4028-a1cb-42e1e3b21123"]}],"mendeley":{"formattedCitation":"(Holbrook &amp; Rannikmae, 2009; Jgunkola &amp; Ogunkola, 2013; Norris &amp; Phillips, 2003; Susilastri &amp; Rustaman, 2015)","plainTextFormattedCitation":"(Holbrook &amp; Rannikmae, 2009; Jgunkola &amp; Ogunkola, 2013; Norris &amp; Phillips, 2003; Susilastri &amp; Rustaman, 2015)","previouslyFormattedCitation":"(Holbrook &amp; Rannikmae, 2009; Jgunkola &amp; Ogunkola, 2013; Norris &amp; Phillips, 2003; Susilastri &amp; Rustaman, 2015)"},"properties":{"noteIndex":0},"schema":"https://github.com/citation-style-language/schema/raw/master/csl-citation.json"}</w:instrText>
      </w:r>
      <w:r w:rsidR="0016377B">
        <w:rPr>
          <w:lang w:eastAsia="id-ID"/>
        </w:rPr>
        <w:fldChar w:fldCharType="separate"/>
      </w:r>
      <w:r w:rsidR="0016377B" w:rsidRPr="0016377B">
        <w:rPr>
          <w:noProof/>
          <w:lang w:eastAsia="id-ID"/>
        </w:rPr>
        <w:t>(Holbrook &amp; Rannikmae, 2009; Jgunkola &amp; Ogunkola, 2013; Norris &amp; Phillips, 2003; Susilastri &amp; Rustaman, 2015)</w:t>
      </w:r>
      <w:r w:rsidR="0016377B">
        <w:rPr>
          <w:lang w:eastAsia="id-ID"/>
        </w:rPr>
        <w:fldChar w:fldCharType="end"/>
      </w:r>
      <w:r>
        <w:rPr>
          <w:lang w:eastAsia="id-ID"/>
        </w:rPr>
        <w:t xml:space="preserve">. Berdasarkan hasil temuan peneliti dengan penelitian sebelumnya tampak jelas bahwa siswa </w:t>
      </w:r>
      <w:r w:rsidR="00C96DD2">
        <w:rPr>
          <w:lang w:eastAsia="id-ID"/>
        </w:rPr>
        <w:t xml:space="preserve">dengan </w:t>
      </w:r>
      <w:r>
        <w:rPr>
          <w:lang w:eastAsia="id-ID"/>
        </w:rPr>
        <w:t xml:space="preserve">sekolah </w:t>
      </w:r>
      <w:r w:rsidR="00C96DD2">
        <w:rPr>
          <w:lang w:eastAsia="id-ID"/>
        </w:rPr>
        <w:t xml:space="preserve">yang erat kaitannya dengan alam </w:t>
      </w:r>
      <w:r>
        <w:rPr>
          <w:lang w:eastAsia="id-ID"/>
        </w:rPr>
        <w:t xml:space="preserve">memungkinkan untuk </w:t>
      </w:r>
      <w:r w:rsidR="00C96DD2">
        <w:rPr>
          <w:lang w:eastAsia="id-ID"/>
        </w:rPr>
        <w:t xml:space="preserve">memiliki kemampuan </w:t>
      </w:r>
      <w:r>
        <w:rPr>
          <w:lang w:eastAsia="id-ID"/>
        </w:rPr>
        <w:t xml:space="preserve">menggunakan pemahaman dan pengalaman menjadi salah satu </w:t>
      </w:r>
      <w:r w:rsidR="003E605F">
        <w:rPr>
          <w:lang w:eastAsia="id-ID"/>
        </w:rPr>
        <w:t xml:space="preserve">keterampilan yang </w:t>
      </w:r>
      <w:r w:rsidR="00C96DD2">
        <w:rPr>
          <w:lang w:eastAsia="id-ID"/>
        </w:rPr>
        <w:t>akan dipakai siswa</w:t>
      </w:r>
      <w:r w:rsidR="003E605F">
        <w:rPr>
          <w:lang w:eastAsia="id-ID"/>
        </w:rPr>
        <w:t xml:space="preserve"> untuk dapat menyelesaikan masalah dengan menggunakan konsep sains.</w:t>
      </w:r>
    </w:p>
    <w:p w:rsidR="00C57D78" w:rsidRDefault="003E605F" w:rsidP="00E87A7F">
      <w:pPr>
        <w:pStyle w:val="BodyText"/>
        <w:ind w:firstLine="720"/>
        <w:rPr>
          <w:lang w:eastAsia="id-ID"/>
        </w:rPr>
      </w:pPr>
      <w:r>
        <w:rPr>
          <w:lang w:eastAsia="id-ID"/>
        </w:rPr>
        <w:t xml:space="preserve">Aspek kedua hasil penelitian </w:t>
      </w:r>
      <w:r w:rsidR="00C96DD2">
        <w:rPr>
          <w:lang w:eastAsia="id-ID"/>
        </w:rPr>
        <w:t>terkait</w:t>
      </w:r>
      <w:r>
        <w:rPr>
          <w:lang w:eastAsia="id-ID"/>
        </w:rPr>
        <w:t xml:space="preserve"> kemampuan literasi sains siswa </w:t>
      </w:r>
      <w:r w:rsidR="00C96DD2">
        <w:rPr>
          <w:lang w:eastAsia="id-ID"/>
        </w:rPr>
        <w:t>SD di S</w:t>
      </w:r>
      <w:r w:rsidR="00B66F07">
        <w:rPr>
          <w:lang w:eastAsia="id-ID"/>
        </w:rPr>
        <w:t>ek</w:t>
      </w:r>
      <w:r w:rsidR="00C96DD2">
        <w:rPr>
          <w:lang w:eastAsia="id-ID"/>
        </w:rPr>
        <w:t xml:space="preserve">olah Adiwiyata </w:t>
      </w:r>
      <w:r>
        <w:rPr>
          <w:lang w:eastAsia="id-ID"/>
        </w:rPr>
        <w:t>pada aspek konten</w:t>
      </w:r>
      <w:r w:rsidR="00FC695B">
        <w:rPr>
          <w:lang w:eastAsia="id-ID"/>
        </w:rPr>
        <w:t xml:space="preserve"> </w:t>
      </w:r>
      <w:r w:rsidR="00C96DD2">
        <w:rPr>
          <w:lang w:eastAsia="id-ID"/>
        </w:rPr>
        <w:t xml:space="preserve">terlihat bahwa siswa Sekolah Adiwiyata </w:t>
      </w:r>
      <w:r w:rsidR="00D61B6D">
        <w:rPr>
          <w:lang w:eastAsia="id-ID"/>
        </w:rPr>
        <w:t xml:space="preserve">terlihat memiliki keyakinan </w:t>
      </w:r>
      <w:r w:rsidR="00B66F07">
        <w:rPr>
          <w:lang w:eastAsia="id-ID"/>
        </w:rPr>
        <w:t>diri bahwa sains memiliki peran penting dalam kehidupan, sehingga keyakinan untuk melaksanakan segala sesuatu yang bersumber pada sains</w:t>
      </w:r>
      <w:r w:rsidR="003A41FF">
        <w:rPr>
          <w:lang w:eastAsia="id-ID"/>
        </w:rPr>
        <w:t xml:space="preserve"> sangat tinggi</w:t>
      </w:r>
      <w:r w:rsidR="00B66F07">
        <w:rPr>
          <w:lang w:eastAsia="id-ID"/>
        </w:rPr>
        <w:t xml:space="preserve">. Hasil ini jelas bermakna bahwa siswa sekolah Adiwiyata tidak hanya menjadikan sains sebaga fakta dan konsep saja, namun merujuk pada tataran prinsip hidup siswa, sehingga prinsip hidup yang berasaskan sains menjadi salah satu pembeda bahwa sains merupakan keterampilan penalaran </w:t>
      </w:r>
      <w:r w:rsidR="005D0601">
        <w:rPr>
          <w:lang w:eastAsia="id-ID"/>
        </w:rPr>
        <w:fldChar w:fldCharType="begin" w:fldLock="1"/>
      </w:r>
      <w:r w:rsidR="004A5E13">
        <w:rPr>
          <w:lang w:eastAsia="id-ID"/>
        </w:rPr>
        <w:instrText>ADDIN CSL_CITATION {"citationItems":[{"id":"ITEM-1","itemData":{"DOI":"10.21009/biosferjpb.10-1.3","ISSN":"2614-3984","abstract":"Capung merupakan serangga yang berperan penting dalam keseimbangan ekologi. Saat ini keberadaan capung semakin langka dan ada predisksi suatu saat capung akan punah jika pencemaran air semakin meningkat. Penelitian ini merupakan penelitian deskriptif kuantitatif dan kualitatif yang bertujuan untuk mendeskripsikan kemampuan literasi sains siswa pada konteks melestarikan capung. Penelitian melibatkan 89 orang siswa SD kelas 4  pada 2 Sekolah Dasar di Kota Sukabumi. Data diambil dengan menggunakan soal literasi sains pilihan ganda serta lembar wawancara. Hasil penelitian menunjukkan bahwa kemampuan literasi sains siswa secara umum pada kategori cukup, sementara dari wawancara siswa diperoleh hasil bahwa siswa sudah cukup mampu menjelaskan mengapa capung saat ini sulit di temukan di lingkungan, begitupun dalam upaya menjaga kelestarian capung. Melalui penelitian ini diperoleh gambaran literasi sains siswa Sekolah Dasar yang dapat menjadi penelitian pendahuluan untuk mengembangkan pembelajaran untuk melestarikan serangga/hewan yang terancam punah yang disebabkan oleh ketidakseimbangan ekosistem saat ini","author":[{"dropping-particle":"","family":"Windyariani","given":"Sistiana","non-dropping-particle":"","parse-names":false,"suffix":""}],"container-title":"Biosfer: Jurnal Pendidikan Biologi","id":"ITEM-1","issue":"1","issued":{"date-parts":[["2018"]]},"page":"17-21","title":"Kemampuan Literasi Sains Siswa Sd Pada Konteks Melestarikan Capung","type":"article-journal","volume":"10"},"uris":["http://www.mendeley.com/documents/?uuid=c132421f-6e74-4438-8e78-267208d8c036"]},{"id":"ITEM-2","itemData":{"DOI":"10.14421/al-bidayah.v10i1.129","ISSN":"2085-0034","abstract":"Hasil survei terbaru Programme for International Student Assesment (PISA) tahun 2015 terhadap kemampuan literasi sains di Indonesia sangat memprihatinkan. Indonesia memperoleh nilai rata-rata skor 493 dan berada di peringkat 62 dari 70 negara anggota. Meskipun demikian, kemampuan literasi sains pada jenjang madrasah ibtidaiyah belum tercakup dalam survey tersebut. Karena itu, artikel ini bertujuan untuk mengungkapkan kemampuan literasi sains peserta didik pada jenjang madrasah ibtidaiyah. Penelitian dilakukan dengan menggunakan pendekatan kuantitatif non eksperimental dengan metode deskriptif. Teknik pengumpulan data menggunakan instrumen Tes berbentuk soal pilihan ganda yang telah di validasi isi dan konstruk oleh ahli dan validasi empiris keterpakaian menggunakan program Anates V-4. Populasinya yakni peserta didik kelas V MIN Tanuraksan. Analisis data yang digunakan yakni dengan statiska deskriptif. Menurut PISA, literasi sains memiliki tiga dimensi yakni dimensi konteks, dimensi proses dan dimensi sikap. Mengacu pada tiga dimensi tersebut, hasil analisis penelitian ini menunjukkan bahwa kemampuan literasi sains peserta didik MIN Tanuraksan menunjukkan skor dengan kategori tinggi dengan presentase 62,16%.","author":[{"dropping-particle":"","family":"Afni","given":"Nur","non-dropping-particle":"","parse-names":false,"suffix":""},{"dropping-particle":"","family":"Rokhimawan","given":"M. Agung","non-dropping-particle":"","parse-names":false,"suffix":""}],"container-title":"Al-Bidayah: Jurnal Pendidikan Dasar Islam","id":"ITEM-2","issue":"1","issued":{"date-parts":[["2018"]]},"page":"47-68","title":"Literasi Sains Peserta Didik Kelas V di MIN Tanuraksan Kebumen","type":"article-journal","volume":"10"},"uris":["http://www.mendeley.com/documents/?uuid=409644cd-6577-4585-935e-0888c911aff8"]},{"id":"ITEM-3","itemData":{"abstract":"This study aims to express students'environmental literacy profile in school-based nature and in school that implement the Adiwiyata program. This research was conducted with descriptive method through an intangibles survey in two schools; school-based nature and Adiwiyata regular school in the city of Bogor. Data Collecting uses the questions of PISA 2006 scientific literacy environment. This questions intend to measure environmental knowledge, the questionnaires and interviews intend to measure attitudes, awareness, responsibility and participation of students to environmental problems. The results showed that the students'level of PISA environmental literacy of school-based nature and in school that implement the Adiwiyata program are still in the level of consciousness, not at the level of behavior. Mastery of knowledge is still low at 35% and the average score of the attitude 54%. The students' awareness is still low because their environmental knowledge is also still low. The learning process that does not exploit the capabilities of students' science process was suspected as one of the causes of students'low achievement of knowledge acquisition environment. Internal and the family environmental factors are also influence the results , as the support of school infrastructure is very strong. 1. PENDAHULUAN Masalah serius yang tengah dihadapi dunia saat ini adalah masalah penurunan kualitas lingkungan hidup yang berimbas pada kualitas hidup penduduk Bumi. Lingkungan alam global menghadapi tekanan yang terus meningkat. Ledakan jumlah penduduk yang terus meningkat merupakan penyebab utama yang berakibat meningkatnya permintaan kebutuhan manusia akan makanan, energi, dan perluasan lahan pemukiman. Permintaan diwujudkan dengan tereduksinya hutan, krisis sumber air bersih, kehilangan keanekaragaman hayati, krisis cadangan energi, polusi udara, polusi air dan polusi tanah. Menipisnya perikanan di dunia, udara yang tidak sehat untuk bernapas, peningkatan produksi gas rumah kaca yang mengakibatkan terjadinya pemanasan global, dan adanya kesenjangan dalam sumber daya keuangan di seluruh dunia (OECD, 2011). Gaya hidup yang konsumtif ikut berpengaruh kuat. Eksploitasi sumber daya alam sudah tidak terkendali untuk memenuhi hasrat dan keinginan hari ini tanpa memikirkan masa depan generasi yang akan datang dengan mengatasnamakan pembangunan. Upaya pemerintah dan masyarakat Indonesia dalam menyelenggarakan pendidikan lingkungan agar generasi baru bangsanya menjad…","author":[{"dropping-particle":"","family":"Susilastri","given":"Susi Dwi","non-dropping-particle":"","parse-names":false,"suffix":""},{"dropping-particle":"","family":"Rustaman","given":"Nuryani Y","non-dropping-particle":"","parse-names":false,"suffix":""}],"id":"ITEM-3","issued":{"date-parts":[["2015"]]},"page":"263-6","title":"Students'environmental Literacy Profile in School-Based Nature and in School that Implement the Adiwiyata Program","type":"article-journal"},"uris":["http://www.mendeley.com/documents/?uuid=ebd3412f-e671-46f6-ae9e-9818f6d6dcac"]}],"mendeley":{"formattedCitation":"(Afni &amp; Rokhimawan, 2018; Susilastri &amp; Rustaman, 2015; Windyariani, 2018)","plainTextFormattedCitation":"(Afni &amp; Rokhimawan, 2018; Susilastri &amp; Rustaman, 2015; Windyariani, 2018)","previouslyFormattedCitation":"(Afni &amp; Rokhimawan, 2018; Susilastri &amp; Rustaman, 2015; Windyariani, 2018)"},"properties":{"noteIndex":0},"schema":"https://github.com/citation-style-language/schema/raw/master/csl-citation.json"}</w:instrText>
      </w:r>
      <w:r w:rsidR="005D0601">
        <w:rPr>
          <w:lang w:eastAsia="id-ID"/>
        </w:rPr>
        <w:fldChar w:fldCharType="separate"/>
      </w:r>
      <w:r w:rsidR="005D0601" w:rsidRPr="005D0601">
        <w:rPr>
          <w:noProof/>
          <w:lang w:eastAsia="id-ID"/>
        </w:rPr>
        <w:t>(Afni &amp; Rokhimawan, 2018; Susilastri &amp; Rustaman, 2015; Windyariani, 2018)</w:t>
      </w:r>
      <w:r w:rsidR="005D0601">
        <w:rPr>
          <w:lang w:eastAsia="id-ID"/>
        </w:rPr>
        <w:fldChar w:fldCharType="end"/>
      </w:r>
      <w:r w:rsidR="00B66F07">
        <w:rPr>
          <w:lang w:eastAsia="id-ID"/>
        </w:rPr>
        <w:t xml:space="preserve">. Aspek konten yang sudah terinternaliasi secara terus menerus dalam pemikiran siswa di sekolah Adiwiyata hakikatnya juga mengarhkan peserta didik pada situasi nyata lingkungan dan kehidupan sehari-hari. Karena lingkungan di sekolah Adiwiyata menjadi sarana tempat bermai untuk mengikutsertakan berbagai kecerdasan yang dimiliki siswa, menstimulasi perkembangan kesehatan siswa, serta memperoleh </w:t>
      </w:r>
      <w:r w:rsidR="00B66F07">
        <w:rPr>
          <w:i/>
          <w:lang w:eastAsia="id-ID"/>
        </w:rPr>
        <w:t xml:space="preserve">output </w:t>
      </w:r>
      <w:r w:rsidR="00B66F07">
        <w:rPr>
          <w:lang w:eastAsia="id-ID"/>
        </w:rPr>
        <w:t>pem</w:t>
      </w:r>
      <w:r w:rsidR="00C50425">
        <w:rPr>
          <w:lang w:eastAsia="id-ID"/>
        </w:rPr>
        <w:t xml:space="preserve"> </w:t>
      </w:r>
      <w:r w:rsidR="00B66F07">
        <w:rPr>
          <w:lang w:eastAsia="id-ID"/>
        </w:rPr>
        <w:t xml:space="preserve">belajaran yang akan bertahan lama. </w:t>
      </w:r>
    </w:p>
    <w:p w:rsidR="00FB0A67" w:rsidRPr="00B66F07" w:rsidRDefault="00B66F07" w:rsidP="00E87A7F">
      <w:pPr>
        <w:pStyle w:val="BodyText"/>
        <w:ind w:firstLine="720"/>
        <w:rPr>
          <w:lang w:eastAsia="id-ID"/>
        </w:rPr>
      </w:pPr>
      <w:r>
        <w:rPr>
          <w:lang w:eastAsia="id-ID"/>
        </w:rPr>
        <w:t xml:space="preserve">Hal tersebut sesuai dengan </w:t>
      </w:r>
      <w:r w:rsidR="006A26E4">
        <w:rPr>
          <w:lang w:eastAsia="id-ID"/>
        </w:rPr>
        <w:t>beberapa temuan hasil penelitian sebelumnya bahwa alam dan lingkungan disajikan sekolah bukan hanya penyediaan tumbuhan yang bervariasi melainkan tempat untuk mengenal situasi nyata, memelihara dan menyembuhkan, menciptakan banyak tempat praktik, hidup dengan suara, dan kompleksitas perolehan pengetahuan</w:t>
      </w:r>
      <w:r w:rsidR="00567117">
        <w:rPr>
          <w:lang w:eastAsia="id-ID"/>
        </w:rPr>
        <w:t xml:space="preserve"> </w:t>
      </w:r>
      <w:r w:rsidR="00567117">
        <w:rPr>
          <w:lang w:eastAsia="id-ID"/>
        </w:rPr>
        <w:fldChar w:fldCharType="begin" w:fldLock="1"/>
      </w:r>
      <w:r w:rsidR="00AB7DAB">
        <w:rPr>
          <w:lang w:eastAsia="id-ID"/>
        </w:rPr>
        <w:instrText>ADDIN CSL_CITATION {"citationItems":[{"id":"ITEM-1","itemData":{"abstract":"This study aims to express students'environmental literacy profile in school-based nature and in school that implement the Adiwiyata program. This research was conducted with descriptive method through an intangibles survey in two schools; school-based nature and Adiwiyata regular school in the city of Bogor. Data Collecting uses the questions of PISA 2006 scientific literacy environment. This questions intend to measure environmental knowledge, the questionnaires and interviews intend to measure attitudes, awareness, responsibility and participation of students to environmental problems. The results showed that the students'level of PISA environmental literacy of school-based nature and in school that implement the Adiwiyata program are still in the level of consciousness, not at the level of behavior. Mastery of knowledge is still low at 35% and the average score of the attitude 54%. The students' awareness is still low because their environmental knowledge is also still low. The learning process that does not exploit the capabilities of students' science process was suspected as one of the causes of students'low achievement of knowledge acquisition environment. Internal and the family environmental factors are also influence the results , as the support of school infrastructure is very strong. 1. PENDAHULUAN Masalah serius yang tengah dihadapi dunia saat ini adalah masalah penurunan kualitas lingkungan hidup yang berimbas pada kualitas hidup penduduk Bumi. Lingkungan alam global menghadapi tekanan yang terus meningkat. Ledakan jumlah penduduk yang terus meningkat merupakan penyebab utama yang berakibat meningkatnya permintaan kebutuhan manusia akan makanan, energi, dan perluasan lahan pemukiman. Permintaan diwujudkan dengan tereduksinya hutan, krisis sumber air bersih, kehilangan keanekaragaman hayati, krisis cadangan energi, polusi udara, polusi air dan polusi tanah. Menipisnya perikanan di dunia, udara yang tidak sehat untuk bernapas, peningkatan produksi gas rumah kaca yang mengakibatkan terjadinya pemanasan global, dan adanya kesenjangan dalam sumber daya keuangan di seluruh dunia (OECD, 2011). Gaya hidup yang konsumtif ikut berpengaruh kuat. Eksploitasi sumber daya alam sudah tidak terkendali untuk memenuhi hasrat dan keinginan hari ini tanpa memikirkan masa depan generasi yang akan datang dengan mengatasnamakan pembangunan. Upaya pemerintah dan masyarakat Indonesia dalam menyelenggarakan pendidikan lingkungan agar generasi baru bangsanya menjad…","author":[{"dropping-particle":"","family":"Susilastri","given":"Susi Dwi","non-dropping-particle":"","parse-names":false,"suffix":""},{"dropping-particle":"","family":"Rustaman","given":"Nuryani Y","non-dropping-particle":"","parse-names":false,"suffix":""}],"id":"ITEM-1","issued":{"date-parts":[["2015"]]},"page":"263-6","title":"Students'environmental Literacy Profile in School-Based Nature and in School that Implement the Adiwiyata Program","type":"article-journal"},"uris":["http://www.mendeley.com/documents/?uuid=ebd3412f-e671-46f6-ae9e-9818f6d6dcac"]},{"id":"ITEM-2","itemData":{"ISSN":"2077-2327","abstract":"To enhance scientific literacy in the general public efforts are needed that both inspire and engage the learner. Often such efforts are provided through school programs or science learning centers, however, in many rural communities such resources are unavailable. Alternate strategies are needed to provide individuals with quality educational opportunities. One such option is the development of short-term science camps. Science camps can provide both researchers and teachers with the opportunity to disseminate important scientific findings and concepts to a broad audience. Here, we present a brief guide for those educators interested in developing a short-term science camps as a means to promote scientific education and literacy. The aim of this guide is to discuss the potential benefits and caveats associated with running a science camp in rural areas and provide educators with a template assessment for evaluating students' knowledge and perceptions of science. We also discuss the results of a pilot camp offered to seven students in the rural international community of the Exuma Cays, Bahamas. We used using pre- and post-knowledge assessments as well as student self-evaluations to evaluate the effectiveness of the camp. Our findings suggest that these short-term outreach activities can have a positive impact on the scientific literacy and long-term career goals of the participants.","author":[{"dropping-particle":"","family":"Foster","given":"JS","non-dropping-particle":"","parse-names":false,"suffix":""},{"dropping-particle":"","family":"Shiel-Rolle","given":"N","non-dropping-particle":"","parse-names":false,"suffix":""}],"container-title":"Science Education International","id":"ITEM-2","issue":"2","issued":{"date-parts":[["2011"]]},"page":"85-98","title":"Building scientific literacy through summer science camps: a strategy for design, implementation and assessment","type":"article-journal","volume":"22"},"uris":["http://www.mendeley.com/documents/?uuid=35d39100-0b7b-46b7-9674-43d4a9214f5f"]},{"id":"ITEM-3","itemData":{"ISSN":"13063065","abstract":"This paper sets out to provide an overview of scientific literacy specifically related to whether emphasis is placed on the 'science' or the 'literacy' aspect, accepting that literacy, wherever used, is wider than simply reading and writing. It does this from a general rather than a country perspective. The emphasis in giving meaning to scientific literacy is placed on the literacy component in recognition of the trend towards relating scientific literacy to skills and values appropriate for a responsible citizen. Rejected is a consideration that scientific literacy is related to an emphasis on the acquisition of content and this is especially considered, noting the social bias and cultural embedding of science. The emphasis on enhancing scientific literacy is placed on an appreciation of the nature of science, the development of personal attributes and the acquisition of socioscientific skills and values. Furthermore, in teaching towards this view of scientific literacy, a key component is seen as relevance and a model of relevance for science teaching is put forward based on relevance being seen from two perspectives. Relevance from both perspectives is very much geared to the view that scientific literacy is best taught by seeing science education as 'education through science' as opposed to 'science through education.' © 2009 IJESE.","author":[{"dropping-particle":"","family":"Holbrook","given":"Jack","non-dropping-particle":"","parse-names":false,"suffix":""},{"dropping-particle":"","family":"Rannikmae","given":"Miia","non-dropping-particle":"","parse-names":false,"suffix":""}],"container-title":"International Journal of Environmental and Science Education","id":"ITEM-3","issue":"3","issued":{"date-parts":[["2009"]]},"page":"275-288","title":"The meaning of scientific literacy","type":"article-journal","volume":"4"},"uris":["http://www.mendeley.com/documents/?uuid=ff82e00f-9f8a-4028-a1cb-42e1e3b21123"]},{"id":"ITEM-4","itemData":{"DOI":"10.2307/3120486","ISBN":"0203422023","ISSN":"00071005","abstract":"The 1990s have seen a tremendous increase in environmental concern in all sections of the population. Young people in particular want to know more about how they can contribute to the conservation of the planet, and formal education is beginning to reflect this. The National Curriculum in England and Wales, for instance, includes environmental education as a compulsory cross-curricular theme and in Australia and the USA there are similar moves to ensure that all students are given an opportunity to learn in this area. Joy Palmer and Philip Neal, experienced teachers and teacher educators in primary and secondary classrooms, here explain what environmental education is and how it can best be implemented at school and classroom level. In this handbook, school heads and curriculum coordinators will find advice on establishing a whole-school policy and motivating the staff who need to implement it. Class teachers will find practical ideas for planning and assessing environmental education in the whole curriculum context. Throughout the book, case studies drawn from a variety of settings allow teachers to see how environmental education can work for them, while the final section directs teachers who want to explore certain issues further with annotated lists of organizations in the UK, USA, Canada, Australia and New Zealand which can provide information, class materials and further help.","author":[{"dropping-particle":"","family":"Gayford","given":"C. G.","non-dropping-particle":"","parse-names":false,"suffix":""},{"dropping-particle":"","family":"Saveland","given":"R. N.","non-dropping-particle":"","parse-names":false,"suffix":""}],"container-title":"British Journal of Educational Studies","id":"ITEM-4","issue":"1","issued":{"date-parts":[["1978"]]},"number-of-pages":"103","title":"Handbook of Environmental Education","type":"book","volume":"26"},"uris":["http://www.mendeley.com/documents/?uuid=7fe1daa3-7b34-45f3-beaf-bd7d1858b413"]}],"mendeley":{"formattedCitation":"(Foster &amp; Shiel-Rolle, 2011; Gayford &amp; Saveland, 1978; Holbrook &amp; Rannikmae, 2009; Susilastri &amp; Rustaman, 2015)","plainTextFormattedCitation":"(Foster &amp; Shiel-Rolle, 2011; Gayford &amp; Saveland, 1978; Holbrook &amp; Rannikmae, 2009; Susilastri &amp; Rustaman, 2015)","previouslyFormattedCitation":"(Foster &amp; Shiel-Rolle, 2011; Gayford &amp; Saveland, 1978; Holbrook &amp; Rannikmae, 2009; Susilastri &amp; Rustaman, 2015)"},"properties":{"noteIndex":0},"schema":"https://github.com/citation-style-language/schema/raw/master/csl-citation.json"}</w:instrText>
      </w:r>
      <w:r w:rsidR="00567117">
        <w:rPr>
          <w:lang w:eastAsia="id-ID"/>
        </w:rPr>
        <w:fldChar w:fldCharType="separate"/>
      </w:r>
      <w:r w:rsidR="00567117" w:rsidRPr="00567117">
        <w:rPr>
          <w:noProof/>
          <w:lang w:eastAsia="id-ID"/>
        </w:rPr>
        <w:t>(Foster &amp; Shiel-Rolle, 2011; Gayford &amp; Saveland, 1978; Holbrook &amp; Rannikmae, 2009; Susilastri &amp; Rustaman, 2015)</w:t>
      </w:r>
      <w:r w:rsidR="00567117">
        <w:rPr>
          <w:lang w:eastAsia="id-ID"/>
        </w:rPr>
        <w:fldChar w:fldCharType="end"/>
      </w:r>
      <w:r w:rsidR="006A26E4">
        <w:rPr>
          <w:lang w:eastAsia="id-ID"/>
        </w:rPr>
        <w:t xml:space="preserve">. </w:t>
      </w:r>
      <w:r w:rsidR="00C33FBC">
        <w:rPr>
          <w:lang w:eastAsia="id-ID"/>
        </w:rPr>
        <w:t xml:space="preserve">Ketersediaan lingkungan dan cara pandang sekolah Adiwiyata terhadap lingkungan sekitar diyakini sebagai salah satu hal yang menyebabkan aspek konten siswa sekolah Adiwiyata memiliki hasil yang lebih tinggi berdasarkan norma kategorisasi yang telah di bahas sebelumnya. Pemerolehan aspek konten yang merujuk pada keyakinan siswa dalam melaksanakan prinsip sains sebagai landasan berbuat merupakan salah satu hal yang sangat difasilitasi oleh sekolah Adiwiyata sebagai program dengan basis lingkungan. </w:t>
      </w:r>
      <w:r w:rsidR="00C57D78">
        <w:rPr>
          <w:lang w:eastAsia="id-ID"/>
        </w:rPr>
        <w:t xml:space="preserve">Hal lainnya juga tergambar bahwa dalam penguasaan konten, siswa SD di Sekolah Adiwiyata memiliki cara pandang yang luas dalam menyelesaikan masalah yang berkenaan dengan lingkungan dengan pola pikir sistematis sesuai dengan petunjuk kerja sains. </w:t>
      </w:r>
    </w:p>
    <w:p w:rsidR="003960EC" w:rsidRDefault="00C57D78" w:rsidP="00496601">
      <w:pPr>
        <w:pStyle w:val="8ParagrafAwal-FirstParagraph"/>
        <w:ind w:firstLine="709"/>
        <w:rPr>
          <w:lang w:val="en-US"/>
        </w:rPr>
      </w:pPr>
      <w:r>
        <w:rPr>
          <w:lang w:val="en-US"/>
        </w:rPr>
        <w:t xml:space="preserve">Aspek ketiga terkait dengan kemampuan literasi sains siswa sekolah dasar di sekolah Adiwiyata adalah sikap literasi sains. </w:t>
      </w:r>
      <w:r w:rsidR="003960EC">
        <w:rPr>
          <w:lang w:val="en-US"/>
        </w:rPr>
        <w:t xml:space="preserve">Hasil penelitian menunjukkan bahwa </w:t>
      </w:r>
      <w:r w:rsidR="001C18A9">
        <w:rPr>
          <w:lang w:val="en-US"/>
        </w:rPr>
        <w:t xml:space="preserve">siswa sekolah Adiwiyata memiliki kecenderungan yang tinggi terkait minat terhadap sains, mempercayai bahwa sains merupakan rumpun ilmu yang berguna untuk mencapai cita-cita siswa, serta memiliki perhatian terhadap sains bahwa ilmu sains menjadikan pribasi yang menghargai alam, bahkan beberapa siswa menyatakan bahwa senantiasa melakukan pengamatan yang berulang untuk memastikan kebenaran data dan informasi yang diperoleh. Hasil ini jelas membuktikan bahwa pada aspek sikap, siswa adiwiyata memiliki kepekaan terhadap pentingnya </w:t>
      </w:r>
      <w:r w:rsidR="00AA3B69">
        <w:rPr>
          <w:lang w:val="en-US"/>
        </w:rPr>
        <w:t xml:space="preserve">sains sebagai salah satu rumpun ilmu yang memungkinkan mereka memilik keterampilan. Sekolah Adiwiyata dengan program unggulan </w:t>
      </w:r>
      <w:r w:rsidR="0016377B">
        <w:rPr>
          <w:lang w:val="en-US"/>
        </w:rPr>
        <w:t>lingkungan dan karak</w:t>
      </w:r>
      <w:r w:rsidR="00AA3B69">
        <w:rPr>
          <w:lang w:val="en-US"/>
        </w:rPr>
        <w:t>t</w:t>
      </w:r>
      <w:r w:rsidR="0016377B">
        <w:rPr>
          <w:lang w:val="en-US"/>
        </w:rPr>
        <w:t>e</w:t>
      </w:r>
      <w:r w:rsidR="00AA3B69">
        <w:rPr>
          <w:lang w:val="en-US"/>
        </w:rPr>
        <w:t>r peduli lingkungan menjadi daya t</w:t>
      </w:r>
      <w:r w:rsidR="00BC2A37">
        <w:rPr>
          <w:lang w:val="en-US"/>
        </w:rPr>
        <w:t>a</w:t>
      </w:r>
      <w:r w:rsidR="00AA3B69">
        <w:rPr>
          <w:lang w:val="en-US"/>
        </w:rPr>
        <w:t>rik tersendri, sehingga perlakuan yang diberikan oleh sekolah Adiwiyata memberikan kontribusi yang baik terhadap peningkatan aspek keterampilan sikap literasi sains bagi siswa</w:t>
      </w:r>
      <w:r w:rsidR="0016377B">
        <w:rPr>
          <w:lang w:val="en-US"/>
        </w:rPr>
        <w:t xml:space="preserve"> </w:t>
      </w:r>
      <w:r w:rsidR="0016377B">
        <w:rPr>
          <w:lang w:val="en-US"/>
        </w:rPr>
        <w:fldChar w:fldCharType="begin" w:fldLock="1"/>
      </w:r>
      <w:r w:rsidR="005D0601">
        <w:rPr>
          <w:lang w:val="en-US"/>
        </w:rPr>
        <w:instrText>ADDIN CSL_CITATION {"citationItems":[{"id":"ITEM-1","itemData":{"abstract":"This study aims to express students'environmental literacy profile in school-based nature and in school that implement the Adiwiyata program. This research was conducted with descriptive method through an intangibles survey in two schools; school-based nature and Adiwiyata regular school in the city of Bogor. Data Collecting uses the questions of PISA 2006 scientific literacy environment. This questions intend to measure environmental knowledge, the questionnaires and interviews intend to measure attitudes, awareness, responsibility and participation of students to environmental problems. The results showed that the students'level of PISA environmental literacy of school-based nature and in school that implement the Adiwiyata program are still in the level of consciousness, not at the level of behavior. Mastery of knowledge is still low at 35% and the average score of the attitude 54%. The students' awareness is still low because their environmental knowledge is also still low. The learning process that does not exploit the capabilities of students' science process was suspected as one of the causes of students'low achievement of knowledge acquisition environment. Internal and the family environmental factors are also influence the results , as the support of school infrastructure is very strong. 1. PENDAHULUAN Masalah serius yang tengah dihadapi dunia saat ini adalah masalah penurunan kualitas lingkungan hidup yang berimbas pada kualitas hidup penduduk Bumi. Lingkungan alam global menghadapi tekanan yang terus meningkat. Ledakan jumlah penduduk yang terus meningkat merupakan penyebab utama yang berakibat meningkatnya permintaan kebutuhan manusia akan makanan, energi, dan perluasan lahan pemukiman. Permintaan diwujudkan dengan tereduksinya hutan, krisis sumber air bersih, kehilangan keanekaragaman hayati, krisis cadangan energi, polusi udara, polusi air dan polusi tanah. Menipisnya perikanan di dunia, udara yang tidak sehat untuk bernapas, peningkatan produksi gas rumah kaca yang mengakibatkan terjadinya pemanasan global, dan adanya kesenjangan dalam sumber daya keuangan di seluruh dunia (OECD, 2011). Gaya hidup yang konsumtif ikut berpengaruh kuat. Eksploitasi sumber daya alam sudah tidak terkendali untuk memenuhi hasrat dan keinginan hari ini tanpa memikirkan masa depan generasi yang akan datang dengan mengatasnamakan pembangunan. Upaya pemerintah dan masyarakat Indonesia dalam menyelenggarakan pendidikan lingkungan agar generasi baru bangsanya menjad…","author":[{"dropping-particle":"","family":"Susilastri","given":"Susi Dwi","non-dropping-particle":"","parse-names":false,"suffix":""},{"dropping-particle":"","family":"Rustaman","given":"Nuryani Y","non-dropping-particle":"","parse-names":false,"suffix":""}],"id":"ITEM-1","issued":{"date-parts":[["2015"]]},"page":"263-6","title":"Students'environmental Literacy Profile in School-Based Nature and in School that Implement the Adiwiyata Program","type":"article-journal"},"uris":["http://www.mendeley.com/documents/?uuid=ebd3412f-e671-46f6-ae9e-9818f6d6dcac"]},{"id":"ITEM-2","itemData":{"abstract":"In the 21st century, the development of science and technology in various countries increased rapidly. In response to this development, people are required to adapt in various aspects. One of them is the aspect of education that is very important for the progress of a country. In the aspect of education there are goals that directly affect the lives of students in making decisions based on information and their understanding, also called science literacy term. In Indonesia it is still low in achieving student science literacy. Good science literacy level can improve the quality of education so that it can compete with other countries in the era of globalization. With the new curriculum, the 2013 curriculum is expected to improve the quality of education in Indonesia. In the 2013 curriculum, scientific literacy is evident through scientific inquiry activities. Schools that have implemented the 2013 curriculum mean that only applying learning oriented to science literacy, have not been applied to the student evaluation stage. In a learning process will not be separated from the evaluation stage, while one of the tools used in the evaluation phase is a test. Scientific literacy evaluation instruments already exist and can be adopted from international research such as PISA, but the results of Indonesian students' science literacy in international studies apply generally. The method used in this paper is the study of literature. The results of the thinking in this paper is an evaluation instrument to measure the science literacy in the form of test questions. The purpose of this paper is: (1) To explain more about 21st century science lesson. (2) To explain more about the students' science literacy. (3) To explain more about science-based literacy evaluation tests.","author":[{"dropping-particle":"","family":"Pratiwi","given":"S N","non-dropping-particle":"","parse-names":false,"suffix":""},{"dropping-particle":"","family":"Cari","given":"C","non-dropping-particle":"","parse-names":false,"suffix":""},{"dropping-particle":"","family":"Aminah","given":"N S","non-dropping-particle":"","parse-names":false,"suffix":""}],"container-title":"Jurnal Materi dan Pembelajaran Fisika (JMPF)","id":"ITEM-2","issue":"1","issued":{"date-parts":[["2019"]]},"page":"34-42","title":"Pembelajaran IPA Abad 21 dengan Literasi Sains Siswa","type":"article-journal","volume":"9"},"uris":["http://www.mendeley.com/documents/?uuid=a3e09833-9c1f-4625-abed-cf1888b30049"]},{"id":"ITEM-3","itemData":{"DOI":"10.14421/al-bidayah.v10i1.129","ISSN":"2085-0034","abstract":"Hasil survei terbaru Programme for International Student Assesment (PISA) tahun 2015 terhadap kemampuan literasi sains di Indonesia sangat memprihatinkan. Indonesia memperoleh nilai rata-rata skor 493 dan berada di peringkat 62 dari 70 negara anggota. Meskipun demikian, kemampuan literasi sains pada jenjang madrasah ibtidaiyah belum tercakup dalam survey tersebut. Karena itu, artikel ini bertujuan untuk mengungkapkan kemampuan literasi sains peserta didik pada jenjang madrasah ibtidaiyah. Penelitian dilakukan dengan menggunakan pendekatan kuantitatif non eksperimental dengan metode deskriptif. Teknik pengumpulan data menggunakan instrumen Tes berbentuk soal pilihan ganda yang telah di validasi isi dan konstruk oleh ahli dan validasi empiris keterpakaian menggunakan program Anates V-4. Populasinya yakni peserta didik kelas V MIN Tanuraksan. Analisis data yang digunakan yakni dengan statiska deskriptif. Menurut PISA, literasi sains memiliki tiga dimensi yakni dimensi konteks, dimensi proses dan dimensi sikap. Mengacu pada tiga dimensi tersebut, hasil analisis penelitian ini menunjukkan bahwa kemampuan literasi sains peserta didik MIN Tanuraksan menunjukkan skor dengan kategori tinggi dengan presentase 62,16%.","author":[{"dropping-particle":"","family":"Afni","given":"Nur","non-dropping-particle":"","parse-names":false,"suffix":""},{"dropping-particle":"","family":"Rokhimawan","given":"M. Agung","non-dropping-particle":"","parse-names":false,"suffix":""}],"container-title":"Al-Bidayah: Jurnal Pendidikan Dasar Islam","id":"ITEM-3","issue":"1","issued":{"date-parts":[["2018"]]},"page":"47-68","title":"Literasi Sains Peserta Didik Kelas V di MIN Tanuraksan Kebumen","type":"article-journal","volume":"10"},"uris":["http://www.mendeley.com/documents/?uuid=409644cd-6577-4585-935e-0888c911aff8"]},{"id":"ITEM-4","itemData":{"DOI":"10.31949/jcp.v3i2.592","ISSN":"2442-7470","abstract":"ABSTRAK Literasi sains berarti pengetahuan dan pemahaman tentang konsep-konsep ilmiah dan proses yang diperlukan untuk pengambilan keputusan pribadi, partisipasi, dan produktivitas ekonomi. Hal ini sangat penting mempersiapkan bekal keterampilan yang harus dimiliki abad ke 21 ini bagi siswa dari tingkat sekolah dasar sampai perguruan tinggi. Pentingnya literasi sains karena permasalahan berkaitan dengan pengetahuan dan teknologi. Selain itu literasi sains memberdayakan masyarakat untuk membuat keputusan pribadi dan berpartisipasi dalam perumusan kebijakan publik yang berdampak pada kehidupan mereka. Literasi sains dalam pengukurannya terdiri dari 3 dimensi yaitu konten sains, proses sains dan konteks aplikasi sains. Literasi informasi dan teknologi dan pengembangan ilmu pengetahuan dapat memberi pengaruh pada peluang baru dalam strategi dan metode pembelajaran, termasuk pembelajaran sains. Keterampilan literasi sains dan literasi IT dapat dikembangkan untuk meningkatkan pengetahuan dan penyelidikan ilmu pengetahuan Alam, untuk memahami dan berkomunikasi dan meningkatkan hubungan antara sains, teknologi dan masyarakat. Kata kunci: literasi sains, literasi informasi PENDAHULUAN Memasuki abad ke 21 yang semakin pesat perkembangan pengetahuan maupun teknologi tentunya membutuhkan tantangan sendiri, baik dilingkungan pendidikan maupun dunia kerja saat ini. Sehingga perlunya mempersiapkan generasi saat ini memiliki keterampilan baik soft skill maupun hard skill bagi siswa dari tingkat sekolah dasar sampai perguruan tinggi. Menurut Omar, Turiman, Daud dan Kasman, (2011) bahwa \" keterampilan abad ke 21 terdiri dari empat domain utama literasi, berfikir inventif, komunikasi yang efektif dan produktivitas yang tinggi \" . Salah satu keterampilan yang penting untuk meningkatkan pengetahuan dan kemampuan memutuskan masalah adalah literasi sains. Literasi sains sudah banyak dikembangkan dalam dunia pendidikan oleh negara-negara seperti Amerika, Taiwan, Cina, Hong Kong, Australia, Jerman dan Chile (G. Lederman, S. Lederman, Antink, 2013), bahkan negara berkembang seperti Nigeria (Ojimba, 2013). Literasi sains di Indonesia mulai dikenalkan pada tahun 1993 melalui undangan oleh Unesco untuk mengikuti International Forum on Science and Technological Literacy for All di Paris dan realisasinya diselenggarakan Workshop on Scientific and Technological Literacy for All in Asia and Pasific di Tokyo. Literasi sains mulai diakomodasikan dalam kurikulum 2006 (KTSP) dan lebih terl…","author":[{"dropping-particle":"","family":"Yuliati","given":"Yuyu","non-dropping-particle":"","parse-names":false,"suffix":""}],"container-title":"Jurnal Cakrawala Pendas","id":"ITEM-4","issue":"2","issued":{"date-parts":[["2017"]]},"page":"21-28","title":"Literasi Sains Dalam Pembelajaran Ipa","type":"article-journal","volume":"3"},"uris":["http://www.mendeley.com/documents/?uuid=82413f44-7294-4f3c-bd6f-7ca50ea1a15c"]}],"mendeley":{"formattedCitation":"(Afni &amp; Rokhimawan, 2018; Pratiwi et al., 2019; Susilastri &amp; Rustaman, 2015; Yuliati, 2017)","plainTextFormattedCitation":"(Afni &amp; Rokhimawan, 2018; Pratiwi et al., 2019; Susilastri &amp; Rustaman, 2015; Yuliati, 2017)","previouslyFormattedCitation":"(Afni &amp; Rokhimawan, 2018; Pratiwi et al., 2019; Susilastri &amp; Rustaman, 2015; Yuliati, 2017)"},"properties":{"noteIndex":0},"schema":"https://github.com/citation-style-language/schema/raw/master/csl-citation.json"}</w:instrText>
      </w:r>
      <w:r w:rsidR="0016377B">
        <w:rPr>
          <w:lang w:val="en-US"/>
        </w:rPr>
        <w:fldChar w:fldCharType="separate"/>
      </w:r>
      <w:r w:rsidR="0016377B" w:rsidRPr="0016377B">
        <w:rPr>
          <w:noProof/>
          <w:lang w:val="en-US"/>
        </w:rPr>
        <w:t>(Afni &amp; Rokhimawan, 2018; Pratiwi et al., 2019; Susilastri &amp; Rustaman, 2015; Yuliati, 2017)</w:t>
      </w:r>
      <w:r w:rsidR="0016377B">
        <w:rPr>
          <w:lang w:val="en-US"/>
        </w:rPr>
        <w:fldChar w:fldCharType="end"/>
      </w:r>
      <w:r w:rsidR="00AA3B69">
        <w:rPr>
          <w:lang w:val="en-US"/>
        </w:rPr>
        <w:t>. Temuan dan hasil penelitian yang relevan menginformasikan bahwa sikap literasi sains siswa di sekolah adiwiyata merupakan keunggulan yang dicapai karena adanya kontribusi yang diberikan oleh siswa berupa keterampilan sains yang sesuai dengan kebutuhan hidup siswa dan sering ditemui dalam kehidupannya, sehingga hal ini yang meyakinkan bahwa sains sebagai salah satu rumpun ilmu yang mengajarkan banyak hal dalam menumbuh kembangkan sikap yang peduli lingkungan.</w:t>
      </w:r>
    </w:p>
    <w:p w:rsidR="00137086" w:rsidRPr="003A41FF" w:rsidRDefault="00AA3B69" w:rsidP="003A41FF">
      <w:pPr>
        <w:pStyle w:val="BodyText"/>
        <w:rPr>
          <w:lang w:eastAsia="id-ID"/>
        </w:rPr>
      </w:pPr>
      <w:r>
        <w:rPr>
          <w:lang w:eastAsia="id-ID"/>
        </w:rPr>
        <w:t>Temuan-temuan kemampuan literasi sains siswa SD di sekolah A</w:t>
      </w:r>
      <w:r w:rsidR="003224C3">
        <w:rPr>
          <w:lang w:eastAsia="id-ID"/>
        </w:rPr>
        <w:t>diwiyata pada tiga aspek dapat disimpulkan bahwa ke-</w:t>
      </w:r>
      <w:r w:rsidR="003224C3">
        <w:rPr>
          <w:i/>
          <w:lang w:eastAsia="id-ID"/>
        </w:rPr>
        <w:t>khas-</w:t>
      </w:r>
      <w:r w:rsidR="003224C3">
        <w:rPr>
          <w:lang w:eastAsia="id-ID"/>
        </w:rPr>
        <w:t xml:space="preserve">an sekolah dengan berbagai slogan dan kegiatan yang berbasis peduli lingkungan menjadi alasan kuat pembentukan aspek konten, konteks, dan sikap literasi sains. Pembentukan kemampuan literasi sains yang ada di Sekolah Adiwiyata merupakan temuan baru yang sudah selayaknya menjadi keseriusan bagi seluruh elemen untuk menjadikan Adiwiyata sebagai sekolah rujukan sebagai </w:t>
      </w:r>
      <w:r w:rsidR="003224C3" w:rsidRPr="003224C3">
        <w:rPr>
          <w:i/>
          <w:lang w:eastAsia="id-ID"/>
        </w:rPr>
        <w:t>pilot project</w:t>
      </w:r>
      <w:r w:rsidR="003224C3">
        <w:rPr>
          <w:i/>
          <w:lang w:eastAsia="id-ID"/>
        </w:rPr>
        <w:t xml:space="preserve"> </w:t>
      </w:r>
      <w:r w:rsidR="003224C3">
        <w:rPr>
          <w:lang w:eastAsia="id-ID"/>
        </w:rPr>
        <w:t>atau basis sekolah dengan mengedepankan kepedulian lingkungan sebagai langkah awal menyiapkan kompetensi siswa sekolah dasar dalam memperoleh kompetensi abad 21 yaitu literasi sains. Kajian terkait dengan kemampuan literasi sains siswa SD di Sekolah Adiwiyata tentunya menjadi topik pembahasan yang sangat menarik. Oleh sebab itu, penelitian ini perlu dilanjutkan dengan m</w:t>
      </w:r>
      <w:r w:rsidR="00AB7DAB">
        <w:rPr>
          <w:lang w:eastAsia="id-ID"/>
        </w:rPr>
        <w:t>elihat pengaruh dan kontribusi s</w:t>
      </w:r>
      <w:r w:rsidR="003224C3">
        <w:rPr>
          <w:lang w:eastAsia="id-ID"/>
        </w:rPr>
        <w:t>ekolah Adiwiyata dalam pembentukan perilaku literasi sains. Hal itu dilakukan agar hasil penelitian memiliki bukti empiric terkait den</w:t>
      </w:r>
      <w:r w:rsidR="00AB7DAB">
        <w:rPr>
          <w:lang w:eastAsia="id-ID"/>
        </w:rPr>
        <w:t>gan ada atau tidaknya pengaruh s</w:t>
      </w:r>
      <w:r w:rsidR="003224C3">
        <w:rPr>
          <w:lang w:eastAsia="id-ID"/>
        </w:rPr>
        <w:t xml:space="preserve">ekolah Adiwiyata dalam membentuk perilaku literasi sains siswa SD di sekolah. Saat ini, penelitian </w:t>
      </w:r>
      <w:r w:rsidR="003A41FF">
        <w:rPr>
          <w:lang w:eastAsia="id-ID"/>
        </w:rPr>
        <w:t xml:space="preserve">hanya di batasi pada studi deskripsi karena peneliti ingin mengungkap gambaran kemampuan literasi sains siswa saja. Sehingga kedepan hendaknya dapat dilakukan penelitian lanjutan sebagaimana rekomendasi yang telah peneliti sarankan. </w:t>
      </w:r>
    </w:p>
    <w:p w:rsidR="00A33798" w:rsidRDefault="00A33798" w:rsidP="00A33798">
      <w:pPr>
        <w:pStyle w:val="Heading2"/>
        <w:rPr>
          <w:lang w:val="id-ID"/>
        </w:rPr>
      </w:pPr>
      <w:r>
        <w:rPr>
          <w:lang w:val="id-ID"/>
        </w:rPr>
        <w:t>SIMPULAN</w:t>
      </w:r>
    </w:p>
    <w:p w:rsidR="00A33798" w:rsidRPr="00965B79" w:rsidRDefault="003A41FF" w:rsidP="003A41FF">
      <w:pPr>
        <w:jc w:val="both"/>
      </w:pPr>
      <w:r>
        <w:t>Temuan penelitian tentang kemampuan literasi sains siswa SD di Sekolah Adiwiyata dapat disimpulkan bahwa pada aspek konteks, siswa SD Adiwiyata cukup mampu dalam menjawab beberapa topik yang berkaitan dengan kehidupan sehari-sehari dengan mengidentifikasi aspek-aspek sains. Hal yang sama juga terlihat pada aspek konten, siswa SD Adiwiyata memiliki keyakinan bahwa sains bukan hanya berkaitan dengan fakta dan konsep saja, namun siswa SD Adiwiyata meyakini ba</w:t>
      </w:r>
      <w:r w:rsidR="00965B79">
        <w:t>hwa sains menjadi prinsip hidup yang berguna dalam pemecahan permasalahan yang erat kaitannya dengan kehidupan sehari-hari. Selanjutnya, aspek sikap literasi sains siswa sekolah Adiwiyata berdasarkan pembahasan yang telah dilakukan jelas bahwa siswa Adiwiyata memiliki kecenderungan yang tinggi terhadap sains, serta beberapa siswa senantiasa melakukan percobaan atau membuktikan segala sesuatu berdasarkan percobaan atau hasil Tanya jawab yang dilakukan secara berulang-ulang. Ketiga temuan terkait dengan kemampuan literasi sains siswa SD di sekolah Adiwiyata diyakini karena kontribusi lingkungan yang disajikan sekolah serta ke-</w:t>
      </w:r>
      <w:r w:rsidR="00965B79">
        <w:rPr>
          <w:i/>
        </w:rPr>
        <w:t>khas-</w:t>
      </w:r>
      <w:r w:rsidR="00965B79">
        <w:t xml:space="preserve">an yang dimiliki sekolah dalam menerapkan pola pembiasan dengan slogan peduli dan berbudaya lingkungan. </w:t>
      </w:r>
    </w:p>
    <w:p w:rsidR="00843BF0" w:rsidRPr="0069718E" w:rsidRDefault="00D66262" w:rsidP="001940C7">
      <w:pPr>
        <w:pStyle w:val="Heading1"/>
        <w:rPr>
          <w:lang w:val="id-ID"/>
        </w:rPr>
      </w:pPr>
      <w:r>
        <w:rPr>
          <w:lang w:val="id-ID"/>
        </w:rPr>
        <w:t>REferensi</w:t>
      </w:r>
    </w:p>
    <w:p w:rsidR="00AB7DAB" w:rsidRPr="00AB7DAB" w:rsidRDefault="00031CF6" w:rsidP="00AB7DAB">
      <w:pPr>
        <w:widowControl w:val="0"/>
        <w:autoSpaceDE w:val="0"/>
        <w:autoSpaceDN w:val="0"/>
        <w:adjustRightInd w:val="0"/>
        <w:spacing w:after="40"/>
        <w:ind w:left="480" w:hanging="480"/>
        <w:jc w:val="both"/>
        <w:rPr>
          <w:noProof/>
          <w:szCs w:val="24"/>
        </w:rPr>
      </w:pPr>
      <w:r w:rsidRPr="009964D6">
        <w:fldChar w:fldCharType="begin" w:fldLock="1"/>
      </w:r>
      <w:r w:rsidR="009B7B3D" w:rsidRPr="009964D6">
        <w:instrText xml:space="preserve">ADDIN Mendeley Bibliography CSL_BIBLIOGRAPHY </w:instrText>
      </w:r>
      <w:r w:rsidRPr="009964D6">
        <w:fldChar w:fldCharType="separate"/>
      </w:r>
      <w:r w:rsidR="00AB7DAB" w:rsidRPr="00AB7DAB">
        <w:rPr>
          <w:noProof/>
          <w:szCs w:val="24"/>
        </w:rPr>
        <w:t xml:space="preserve">Aberšek, M. K., Dolenc, K., Flogie, A., &amp; Koritnik, A. (2015). New natural science literacies of online research and comprehension: To teach or not to teach. </w:t>
      </w:r>
      <w:r w:rsidR="00AB7DAB" w:rsidRPr="00AB7DAB">
        <w:rPr>
          <w:i/>
          <w:iCs/>
          <w:noProof/>
          <w:szCs w:val="24"/>
        </w:rPr>
        <w:t>Journal of Baltic Science Education</w:t>
      </w:r>
      <w:r w:rsidR="00AB7DAB" w:rsidRPr="00AB7DAB">
        <w:rPr>
          <w:noProof/>
          <w:szCs w:val="24"/>
        </w:rPr>
        <w:t xml:space="preserve">, </w:t>
      </w:r>
      <w:r w:rsidR="00AB7DAB" w:rsidRPr="00AB7DAB">
        <w:rPr>
          <w:i/>
          <w:iCs/>
          <w:noProof/>
          <w:szCs w:val="24"/>
        </w:rPr>
        <w:t>14</w:t>
      </w:r>
      <w:r w:rsidR="00AB7DAB" w:rsidRPr="00AB7DAB">
        <w:rPr>
          <w:noProof/>
          <w:szCs w:val="24"/>
        </w:rPr>
        <w:t>(4), 460–473.</w:t>
      </w:r>
    </w:p>
    <w:p w:rsidR="00AB7DAB" w:rsidRPr="00AB7DAB" w:rsidRDefault="00AB7DAB" w:rsidP="00AB7DAB">
      <w:pPr>
        <w:widowControl w:val="0"/>
        <w:autoSpaceDE w:val="0"/>
        <w:autoSpaceDN w:val="0"/>
        <w:adjustRightInd w:val="0"/>
        <w:spacing w:after="40"/>
        <w:ind w:left="480" w:hanging="480"/>
        <w:jc w:val="both"/>
        <w:rPr>
          <w:noProof/>
          <w:szCs w:val="24"/>
        </w:rPr>
      </w:pPr>
      <w:r w:rsidRPr="00AB7DAB">
        <w:rPr>
          <w:noProof/>
          <w:szCs w:val="24"/>
        </w:rPr>
        <w:t xml:space="preserve">Afni, N., &amp; Rokhimawan, M. A. (2018). Literasi Sains Peserta Didik Kelas V di MIN Tanuraksan Kebumen. </w:t>
      </w:r>
      <w:r w:rsidRPr="00AB7DAB">
        <w:rPr>
          <w:i/>
          <w:iCs/>
          <w:noProof/>
          <w:szCs w:val="24"/>
        </w:rPr>
        <w:t>Al-Bidayah: Jurnal Pendidikan Dasar Islam</w:t>
      </w:r>
      <w:r w:rsidRPr="00AB7DAB">
        <w:rPr>
          <w:noProof/>
          <w:szCs w:val="24"/>
        </w:rPr>
        <w:t xml:space="preserve">, </w:t>
      </w:r>
      <w:r w:rsidRPr="00AB7DAB">
        <w:rPr>
          <w:i/>
          <w:iCs/>
          <w:noProof/>
          <w:szCs w:val="24"/>
        </w:rPr>
        <w:t>10</w:t>
      </w:r>
      <w:r w:rsidRPr="00AB7DAB">
        <w:rPr>
          <w:noProof/>
          <w:szCs w:val="24"/>
        </w:rPr>
        <w:t>(1), 47–68. https://doi.org/10.14421/al-bidayah.v10i1.129</w:t>
      </w:r>
    </w:p>
    <w:p w:rsidR="00AB7DAB" w:rsidRPr="00AB7DAB" w:rsidRDefault="00AB7DAB" w:rsidP="00AB7DAB">
      <w:pPr>
        <w:widowControl w:val="0"/>
        <w:autoSpaceDE w:val="0"/>
        <w:autoSpaceDN w:val="0"/>
        <w:adjustRightInd w:val="0"/>
        <w:spacing w:after="40"/>
        <w:ind w:left="480" w:hanging="480"/>
        <w:jc w:val="both"/>
        <w:rPr>
          <w:noProof/>
          <w:szCs w:val="24"/>
        </w:rPr>
      </w:pPr>
      <w:r w:rsidRPr="00AB7DAB">
        <w:rPr>
          <w:noProof/>
          <w:szCs w:val="24"/>
        </w:rPr>
        <w:t xml:space="preserve">Bond, D. (1989). In pursuit of chemical literacy: A place for chemical reactions. </w:t>
      </w:r>
      <w:r w:rsidRPr="00AB7DAB">
        <w:rPr>
          <w:i/>
          <w:iCs/>
          <w:noProof/>
          <w:szCs w:val="24"/>
        </w:rPr>
        <w:t>Journal of Chemical Education</w:t>
      </w:r>
      <w:r w:rsidRPr="00AB7DAB">
        <w:rPr>
          <w:noProof/>
          <w:szCs w:val="24"/>
        </w:rPr>
        <w:t xml:space="preserve">, </w:t>
      </w:r>
      <w:r w:rsidRPr="00AB7DAB">
        <w:rPr>
          <w:i/>
          <w:iCs/>
          <w:noProof/>
          <w:szCs w:val="24"/>
        </w:rPr>
        <w:t>66</w:t>
      </w:r>
      <w:r w:rsidRPr="00AB7DAB">
        <w:rPr>
          <w:noProof/>
          <w:szCs w:val="24"/>
        </w:rPr>
        <w:t>(2), 157–160. https://doi.org/10.1021/ed066p157</w:t>
      </w:r>
    </w:p>
    <w:p w:rsidR="00AB7DAB" w:rsidRPr="00AB7DAB" w:rsidRDefault="00AB7DAB" w:rsidP="00AB7DAB">
      <w:pPr>
        <w:widowControl w:val="0"/>
        <w:autoSpaceDE w:val="0"/>
        <w:autoSpaceDN w:val="0"/>
        <w:adjustRightInd w:val="0"/>
        <w:spacing w:after="40"/>
        <w:ind w:left="480" w:hanging="480"/>
        <w:jc w:val="both"/>
        <w:rPr>
          <w:noProof/>
          <w:szCs w:val="24"/>
        </w:rPr>
      </w:pPr>
      <w:r w:rsidRPr="00AB7DAB">
        <w:rPr>
          <w:noProof/>
          <w:szCs w:val="24"/>
        </w:rPr>
        <w:t xml:space="preserve">Dani, D. (2009). Scientific literacy and purposes for teaching science: A case study of Lebanese private school teachers. </w:t>
      </w:r>
      <w:r w:rsidRPr="00AB7DAB">
        <w:rPr>
          <w:i/>
          <w:iCs/>
          <w:noProof/>
          <w:szCs w:val="24"/>
        </w:rPr>
        <w:t>International Journal of Environmental and Science Education</w:t>
      </w:r>
      <w:r w:rsidRPr="00AB7DAB">
        <w:rPr>
          <w:noProof/>
          <w:szCs w:val="24"/>
        </w:rPr>
        <w:t xml:space="preserve">, </w:t>
      </w:r>
      <w:r w:rsidRPr="00AB7DAB">
        <w:rPr>
          <w:i/>
          <w:iCs/>
          <w:noProof/>
          <w:szCs w:val="24"/>
        </w:rPr>
        <w:t>4</w:t>
      </w:r>
      <w:r w:rsidRPr="00AB7DAB">
        <w:rPr>
          <w:noProof/>
          <w:szCs w:val="24"/>
        </w:rPr>
        <w:t>(3), 289–299.</w:t>
      </w:r>
    </w:p>
    <w:p w:rsidR="00AB7DAB" w:rsidRPr="00AB7DAB" w:rsidRDefault="00AB7DAB" w:rsidP="00AB7DAB">
      <w:pPr>
        <w:widowControl w:val="0"/>
        <w:autoSpaceDE w:val="0"/>
        <w:autoSpaceDN w:val="0"/>
        <w:adjustRightInd w:val="0"/>
        <w:spacing w:after="40"/>
        <w:ind w:left="480" w:hanging="480"/>
        <w:jc w:val="both"/>
        <w:rPr>
          <w:noProof/>
          <w:szCs w:val="24"/>
        </w:rPr>
      </w:pPr>
      <w:r w:rsidRPr="00AB7DAB">
        <w:rPr>
          <w:noProof/>
          <w:szCs w:val="24"/>
        </w:rPr>
        <w:t xml:space="preserve">DeBoer, G. E. (2000). Scientific literacy: Another look at its historical and contemporary meanings and its relationship to science education reform. </w:t>
      </w:r>
      <w:r w:rsidRPr="00AB7DAB">
        <w:rPr>
          <w:i/>
          <w:iCs/>
          <w:noProof/>
          <w:szCs w:val="24"/>
        </w:rPr>
        <w:t>Journal of Research in Science Teaching</w:t>
      </w:r>
      <w:r w:rsidRPr="00AB7DAB">
        <w:rPr>
          <w:noProof/>
          <w:szCs w:val="24"/>
        </w:rPr>
        <w:t xml:space="preserve">, </w:t>
      </w:r>
      <w:r w:rsidRPr="00AB7DAB">
        <w:rPr>
          <w:i/>
          <w:iCs/>
          <w:noProof/>
          <w:szCs w:val="24"/>
        </w:rPr>
        <w:t>37</w:t>
      </w:r>
      <w:r w:rsidRPr="00AB7DAB">
        <w:rPr>
          <w:noProof/>
          <w:szCs w:val="24"/>
        </w:rPr>
        <w:t>(6), 582–601. https://doi.org/10.1002/1098-2736(200008)37:6&lt;582::AID-TEA5&gt;3.0.CO;2-L</w:t>
      </w:r>
    </w:p>
    <w:p w:rsidR="00AB7DAB" w:rsidRPr="00AB7DAB" w:rsidRDefault="00AB7DAB" w:rsidP="00AB7DAB">
      <w:pPr>
        <w:widowControl w:val="0"/>
        <w:autoSpaceDE w:val="0"/>
        <w:autoSpaceDN w:val="0"/>
        <w:adjustRightInd w:val="0"/>
        <w:spacing w:after="40"/>
        <w:ind w:left="480" w:hanging="480"/>
        <w:jc w:val="both"/>
        <w:rPr>
          <w:noProof/>
          <w:szCs w:val="24"/>
        </w:rPr>
      </w:pPr>
      <w:r w:rsidRPr="00AB7DAB">
        <w:rPr>
          <w:noProof/>
          <w:szCs w:val="24"/>
        </w:rPr>
        <w:t xml:space="preserve">Eisenhart, M., Finkel, E., &amp; Marion, S. F. (1996). Creating the conditions for scientific literacy: A re-examination. </w:t>
      </w:r>
      <w:r w:rsidRPr="00AB7DAB">
        <w:rPr>
          <w:i/>
          <w:iCs/>
          <w:noProof/>
          <w:szCs w:val="24"/>
        </w:rPr>
        <w:t>American Educational Research Journal</w:t>
      </w:r>
      <w:r w:rsidRPr="00AB7DAB">
        <w:rPr>
          <w:noProof/>
          <w:szCs w:val="24"/>
        </w:rPr>
        <w:t xml:space="preserve">, </w:t>
      </w:r>
      <w:r w:rsidRPr="00AB7DAB">
        <w:rPr>
          <w:i/>
          <w:iCs/>
          <w:noProof/>
          <w:szCs w:val="24"/>
        </w:rPr>
        <w:t>33</w:t>
      </w:r>
      <w:r w:rsidRPr="00AB7DAB">
        <w:rPr>
          <w:noProof/>
          <w:szCs w:val="24"/>
        </w:rPr>
        <w:t>(2), 261–295. https://doi.org/10.3102/00028312033002261</w:t>
      </w:r>
    </w:p>
    <w:p w:rsidR="00AB7DAB" w:rsidRPr="00AB7DAB" w:rsidRDefault="00AB7DAB" w:rsidP="00AB7DAB">
      <w:pPr>
        <w:widowControl w:val="0"/>
        <w:autoSpaceDE w:val="0"/>
        <w:autoSpaceDN w:val="0"/>
        <w:adjustRightInd w:val="0"/>
        <w:spacing w:after="40"/>
        <w:ind w:left="480" w:hanging="480"/>
        <w:jc w:val="both"/>
        <w:rPr>
          <w:noProof/>
          <w:szCs w:val="24"/>
        </w:rPr>
      </w:pPr>
      <w:r w:rsidRPr="00AB7DAB">
        <w:rPr>
          <w:noProof/>
          <w:szCs w:val="24"/>
        </w:rPr>
        <w:t xml:space="preserve">Foster, J., &amp; Shiel-Rolle, N. (2011). Building scientific literacy through summer science camps: a strategy for design, implementation and assessment. </w:t>
      </w:r>
      <w:r w:rsidRPr="00AB7DAB">
        <w:rPr>
          <w:i/>
          <w:iCs/>
          <w:noProof/>
          <w:szCs w:val="24"/>
        </w:rPr>
        <w:t>Science Education International</w:t>
      </w:r>
      <w:r w:rsidRPr="00AB7DAB">
        <w:rPr>
          <w:noProof/>
          <w:szCs w:val="24"/>
        </w:rPr>
        <w:t xml:space="preserve">, </w:t>
      </w:r>
      <w:r w:rsidRPr="00AB7DAB">
        <w:rPr>
          <w:i/>
          <w:iCs/>
          <w:noProof/>
          <w:szCs w:val="24"/>
        </w:rPr>
        <w:t>22</w:t>
      </w:r>
      <w:r w:rsidRPr="00AB7DAB">
        <w:rPr>
          <w:noProof/>
          <w:szCs w:val="24"/>
        </w:rPr>
        <w:t>(2), 85–98. http://www.icaseonline.net/sei/june2011/p1.pdf</w:t>
      </w:r>
    </w:p>
    <w:p w:rsidR="00AB7DAB" w:rsidRPr="00AB7DAB" w:rsidRDefault="00AB7DAB" w:rsidP="00AB7DAB">
      <w:pPr>
        <w:widowControl w:val="0"/>
        <w:autoSpaceDE w:val="0"/>
        <w:autoSpaceDN w:val="0"/>
        <w:adjustRightInd w:val="0"/>
        <w:spacing w:after="40"/>
        <w:ind w:left="480" w:hanging="480"/>
        <w:jc w:val="both"/>
        <w:rPr>
          <w:noProof/>
          <w:szCs w:val="24"/>
        </w:rPr>
      </w:pPr>
      <w:r w:rsidRPr="00AB7DAB">
        <w:rPr>
          <w:noProof/>
          <w:szCs w:val="24"/>
        </w:rPr>
        <w:t xml:space="preserve">Frydenberg, M., &amp; Andone, D. (2011). Learning for 21 st Century Skills. </w:t>
      </w:r>
      <w:r w:rsidRPr="00AB7DAB">
        <w:rPr>
          <w:i/>
          <w:iCs/>
          <w:noProof/>
          <w:szCs w:val="24"/>
        </w:rPr>
        <w:t>International Conference on Information Society, i-Society 2011</w:t>
      </w:r>
      <w:r w:rsidRPr="00AB7DAB">
        <w:rPr>
          <w:noProof/>
          <w:szCs w:val="24"/>
        </w:rPr>
        <w:t>, 314–318. https://doi.org/10.1109/i-society18435.2011.5978460</w:t>
      </w:r>
    </w:p>
    <w:p w:rsidR="00AB7DAB" w:rsidRPr="00AB7DAB" w:rsidRDefault="00AB7DAB" w:rsidP="00AB7DAB">
      <w:pPr>
        <w:widowControl w:val="0"/>
        <w:autoSpaceDE w:val="0"/>
        <w:autoSpaceDN w:val="0"/>
        <w:adjustRightInd w:val="0"/>
        <w:spacing w:after="40"/>
        <w:ind w:left="480" w:hanging="480"/>
        <w:jc w:val="both"/>
        <w:rPr>
          <w:noProof/>
          <w:szCs w:val="24"/>
        </w:rPr>
      </w:pPr>
      <w:r w:rsidRPr="00AB7DAB">
        <w:rPr>
          <w:noProof/>
          <w:szCs w:val="24"/>
        </w:rPr>
        <w:t xml:space="preserve">Gayford, C. G., &amp; Saveland, R. N. (1978). Handbook of Environmental Education. In </w:t>
      </w:r>
      <w:r w:rsidRPr="00AB7DAB">
        <w:rPr>
          <w:i/>
          <w:iCs/>
          <w:noProof/>
          <w:szCs w:val="24"/>
        </w:rPr>
        <w:t>British Journal of Educational Studies</w:t>
      </w:r>
      <w:r w:rsidRPr="00AB7DAB">
        <w:rPr>
          <w:noProof/>
          <w:szCs w:val="24"/>
        </w:rPr>
        <w:t xml:space="preserve"> (Vol. 26, Issue 1). https://doi.org/10.2307/3120486</w:t>
      </w:r>
    </w:p>
    <w:p w:rsidR="00AB7DAB" w:rsidRPr="00AB7DAB" w:rsidRDefault="00AB7DAB" w:rsidP="00AB7DAB">
      <w:pPr>
        <w:widowControl w:val="0"/>
        <w:autoSpaceDE w:val="0"/>
        <w:autoSpaceDN w:val="0"/>
        <w:adjustRightInd w:val="0"/>
        <w:spacing w:after="40"/>
        <w:ind w:left="480" w:hanging="480"/>
        <w:jc w:val="both"/>
        <w:rPr>
          <w:noProof/>
          <w:szCs w:val="24"/>
        </w:rPr>
      </w:pPr>
      <w:r w:rsidRPr="00AB7DAB">
        <w:rPr>
          <w:noProof/>
          <w:szCs w:val="24"/>
        </w:rPr>
        <w:t xml:space="preserve">Holbrook, J., &amp; Rannikmae, M. (2009). The meaning of scientific literacy. </w:t>
      </w:r>
      <w:r w:rsidRPr="00AB7DAB">
        <w:rPr>
          <w:i/>
          <w:iCs/>
          <w:noProof/>
          <w:szCs w:val="24"/>
        </w:rPr>
        <w:t>International Journal of Environmental and Science Education</w:t>
      </w:r>
      <w:r w:rsidRPr="00AB7DAB">
        <w:rPr>
          <w:noProof/>
          <w:szCs w:val="24"/>
        </w:rPr>
        <w:t xml:space="preserve">, </w:t>
      </w:r>
      <w:r w:rsidRPr="00AB7DAB">
        <w:rPr>
          <w:i/>
          <w:iCs/>
          <w:noProof/>
          <w:szCs w:val="24"/>
        </w:rPr>
        <w:t>4</w:t>
      </w:r>
      <w:r w:rsidRPr="00AB7DAB">
        <w:rPr>
          <w:noProof/>
          <w:szCs w:val="24"/>
        </w:rPr>
        <w:t>(3), 275–288.</w:t>
      </w:r>
    </w:p>
    <w:p w:rsidR="00AB7DAB" w:rsidRPr="00AB7DAB" w:rsidRDefault="00AB7DAB" w:rsidP="00AB7DAB">
      <w:pPr>
        <w:widowControl w:val="0"/>
        <w:autoSpaceDE w:val="0"/>
        <w:autoSpaceDN w:val="0"/>
        <w:adjustRightInd w:val="0"/>
        <w:spacing w:after="40"/>
        <w:ind w:left="480" w:hanging="480"/>
        <w:jc w:val="both"/>
        <w:rPr>
          <w:noProof/>
          <w:szCs w:val="24"/>
        </w:rPr>
      </w:pPr>
      <w:r w:rsidRPr="00AB7DAB">
        <w:rPr>
          <w:noProof/>
          <w:szCs w:val="24"/>
        </w:rPr>
        <w:t xml:space="preserve">Jgunkola, B. J., &amp; Ogunkola, B. J. (2013). Scientific Literacy: Conceptual Overview, Importance and Strategies for Improvement. </w:t>
      </w:r>
      <w:r w:rsidRPr="00AB7DAB">
        <w:rPr>
          <w:i/>
          <w:iCs/>
          <w:noProof/>
          <w:szCs w:val="24"/>
        </w:rPr>
        <w:t>Journal of Educationai and Sociai Research</w:t>
      </w:r>
      <w:r w:rsidRPr="00AB7DAB">
        <w:rPr>
          <w:noProof/>
          <w:szCs w:val="24"/>
        </w:rPr>
        <w:t xml:space="preserve">, </w:t>
      </w:r>
      <w:r w:rsidRPr="00AB7DAB">
        <w:rPr>
          <w:i/>
          <w:iCs/>
          <w:noProof/>
          <w:szCs w:val="24"/>
        </w:rPr>
        <w:t>3</w:t>
      </w:r>
      <w:r w:rsidRPr="00AB7DAB">
        <w:rPr>
          <w:noProof/>
          <w:szCs w:val="24"/>
        </w:rPr>
        <w:t>(1), 265–274. https://doi.org/10.5901/jesr.2013.v3n1p265</w:t>
      </w:r>
    </w:p>
    <w:p w:rsidR="00AB7DAB" w:rsidRPr="00AB7DAB" w:rsidRDefault="00AB7DAB" w:rsidP="00AB7DAB">
      <w:pPr>
        <w:widowControl w:val="0"/>
        <w:autoSpaceDE w:val="0"/>
        <w:autoSpaceDN w:val="0"/>
        <w:adjustRightInd w:val="0"/>
        <w:spacing w:after="40"/>
        <w:ind w:left="480" w:hanging="480"/>
        <w:jc w:val="both"/>
        <w:rPr>
          <w:noProof/>
          <w:szCs w:val="24"/>
        </w:rPr>
      </w:pPr>
      <w:r w:rsidRPr="00AB7DAB">
        <w:rPr>
          <w:noProof/>
          <w:szCs w:val="24"/>
        </w:rPr>
        <w:t xml:space="preserve">Liu, X. (2009). Beyond science literacy: Science and the public. </w:t>
      </w:r>
      <w:r w:rsidRPr="00AB7DAB">
        <w:rPr>
          <w:i/>
          <w:iCs/>
          <w:noProof/>
          <w:szCs w:val="24"/>
        </w:rPr>
        <w:t>International Journal of Environmental and Science Education</w:t>
      </w:r>
      <w:r w:rsidRPr="00AB7DAB">
        <w:rPr>
          <w:noProof/>
          <w:szCs w:val="24"/>
        </w:rPr>
        <w:t xml:space="preserve">, </w:t>
      </w:r>
      <w:r w:rsidRPr="00AB7DAB">
        <w:rPr>
          <w:i/>
          <w:iCs/>
          <w:noProof/>
          <w:szCs w:val="24"/>
        </w:rPr>
        <w:t>4</w:t>
      </w:r>
      <w:r w:rsidRPr="00AB7DAB">
        <w:rPr>
          <w:noProof/>
          <w:szCs w:val="24"/>
        </w:rPr>
        <w:t>(3), 301–311.</w:t>
      </w:r>
    </w:p>
    <w:p w:rsidR="00AB7DAB" w:rsidRPr="00AB7DAB" w:rsidRDefault="00AB7DAB" w:rsidP="00AB7DAB">
      <w:pPr>
        <w:widowControl w:val="0"/>
        <w:autoSpaceDE w:val="0"/>
        <w:autoSpaceDN w:val="0"/>
        <w:adjustRightInd w:val="0"/>
        <w:spacing w:after="40"/>
        <w:ind w:left="480" w:hanging="480"/>
        <w:jc w:val="both"/>
        <w:rPr>
          <w:noProof/>
          <w:szCs w:val="24"/>
        </w:rPr>
      </w:pPr>
      <w:r w:rsidRPr="00AB7DAB">
        <w:rPr>
          <w:noProof/>
          <w:szCs w:val="24"/>
        </w:rPr>
        <w:t xml:space="preserve">Norris, S. P., &amp; Phillips, L. M. (2003). How Literacy in Its Fundamental Sense Is Central to Scientific Literacy. </w:t>
      </w:r>
      <w:r w:rsidRPr="00AB7DAB">
        <w:rPr>
          <w:i/>
          <w:iCs/>
          <w:noProof/>
          <w:szCs w:val="24"/>
        </w:rPr>
        <w:t>Science Education</w:t>
      </w:r>
      <w:r w:rsidRPr="00AB7DAB">
        <w:rPr>
          <w:noProof/>
          <w:szCs w:val="24"/>
        </w:rPr>
        <w:t xml:space="preserve">, </w:t>
      </w:r>
      <w:r w:rsidRPr="00AB7DAB">
        <w:rPr>
          <w:i/>
          <w:iCs/>
          <w:noProof/>
          <w:szCs w:val="24"/>
        </w:rPr>
        <w:t>87</w:t>
      </w:r>
      <w:r w:rsidRPr="00AB7DAB">
        <w:rPr>
          <w:noProof/>
          <w:szCs w:val="24"/>
        </w:rPr>
        <w:t>(2), 224–240. https://doi.org/10.1002/sce.10066</w:t>
      </w:r>
    </w:p>
    <w:p w:rsidR="00AB7DAB" w:rsidRPr="00AB7DAB" w:rsidRDefault="00AB7DAB" w:rsidP="00AB7DAB">
      <w:pPr>
        <w:widowControl w:val="0"/>
        <w:autoSpaceDE w:val="0"/>
        <w:autoSpaceDN w:val="0"/>
        <w:adjustRightInd w:val="0"/>
        <w:spacing w:after="40"/>
        <w:ind w:left="480" w:hanging="480"/>
        <w:jc w:val="both"/>
        <w:rPr>
          <w:noProof/>
          <w:szCs w:val="24"/>
        </w:rPr>
      </w:pPr>
      <w:r w:rsidRPr="00AB7DAB">
        <w:rPr>
          <w:noProof/>
          <w:szCs w:val="24"/>
        </w:rPr>
        <w:t xml:space="preserve">Pertiwi, U. D., Atanti, R. D., Ismawati, R., Aberšek, M. K., Dolenc, K., Flogie, A., Koritnik, A., Bond, D., DeBoer, G. E., Frydenberg, M., Andone, D., Journal, I., Vol, S. S., Utami, B., Saputro, S., Ashadi, Masykuri, M., Dolenc, K., Aberšek, B., … Aminah, N. S. (2015). Pembelajaran IPA Abad 21 dengan Literasi Sains Siswa. </w:t>
      </w:r>
      <w:r w:rsidRPr="00AB7DAB">
        <w:rPr>
          <w:i/>
          <w:iCs/>
          <w:noProof/>
          <w:szCs w:val="24"/>
        </w:rPr>
        <w:t>Journal of Baltic Science Education</w:t>
      </w:r>
      <w:r w:rsidRPr="00AB7DAB">
        <w:rPr>
          <w:noProof/>
          <w:szCs w:val="24"/>
        </w:rPr>
        <w:t xml:space="preserve">, </w:t>
      </w:r>
      <w:r w:rsidRPr="00AB7DAB">
        <w:rPr>
          <w:i/>
          <w:iCs/>
          <w:noProof/>
          <w:szCs w:val="24"/>
        </w:rPr>
        <w:t>4</w:t>
      </w:r>
      <w:r w:rsidRPr="00AB7DAB">
        <w:rPr>
          <w:noProof/>
          <w:szCs w:val="24"/>
        </w:rPr>
        <w:t>(1), 460–473. https://doi.org/10.1002/sce.10066</w:t>
      </w:r>
    </w:p>
    <w:p w:rsidR="00AB7DAB" w:rsidRPr="00AB7DAB" w:rsidRDefault="00AB7DAB" w:rsidP="00AB7DAB">
      <w:pPr>
        <w:widowControl w:val="0"/>
        <w:autoSpaceDE w:val="0"/>
        <w:autoSpaceDN w:val="0"/>
        <w:adjustRightInd w:val="0"/>
        <w:spacing w:after="40"/>
        <w:ind w:left="480" w:hanging="480"/>
        <w:jc w:val="both"/>
        <w:rPr>
          <w:noProof/>
          <w:szCs w:val="24"/>
        </w:rPr>
      </w:pPr>
      <w:r w:rsidRPr="00AB7DAB">
        <w:rPr>
          <w:noProof/>
          <w:szCs w:val="24"/>
        </w:rPr>
        <w:t xml:space="preserve">Pratiwi, S. N., Cari, C., &amp; Aminah, N. S. (2019). Pembelajaran IPA Abad 21 dengan Literasi Sains Siswa. </w:t>
      </w:r>
      <w:r w:rsidRPr="00AB7DAB">
        <w:rPr>
          <w:i/>
          <w:iCs/>
          <w:noProof/>
          <w:szCs w:val="24"/>
        </w:rPr>
        <w:t>Jurnal Materi Dan Pembelajaran Fisika (JMPF)</w:t>
      </w:r>
      <w:r w:rsidRPr="00AB7DAB">
        <w:rPr>
          <w:noProof/>
          <w:szCs w:val="24"/>
        </w:rPr>
        <w:t xml:space="preserve">, </w:t>
      </w:r>
      <w:r w:rsidRPr="00AB7DAB">
        <w:rPr>
          <w:i/>
          <w:iCs/>
          <w:noProof/>
          <w:szCs w:val="24"/>
        </w:rPr>
        <w:t>9</w:t>
      </w:r>
      <w:r w:rsidRPr="00AB7DAB">
        <w:rPr>
          <w:noProof/>
          <w:szCs w:val="24"/>
        </w:rPr>
        <w:t>(1), 34–42.</w:t>
      </w:r>
    </w:p>
    <w:p w:rsidR="00AB7DAB" w:rsidRPr="00AB7DAB" w:rsidRDefault="00AB7DAB" w:rsidP="00AB7DAB">
      <w:pPr>
        <w:widowControl w:val="0"/>
        <w:autoSpaceDE w:val="0"/>
        <w:autoSpaceDN w:val="0"/>
        <w:adjustRightInd w:val="0"/>
        <w:spacing w:after="40"/>
        <w:ind w:left="480" w:hanging="480"/>
        <w:jc w:val="both"/>
        <w:rPr>
          <w:noProof/>
          <w:szCs w:val="24"/>
        </w:rPr>
      </w:pPr>
      <w:r w:rsidRPr="00AB7DAB">
        <w:rPr>
          <w:noProof/>
          <w:szCs w:val="24"/>
        </w:rPr>
        <w:t xml:space="preserve">Susilastri, S. D., &amp; Rustaman, N. Y. (2015). </w:t>
      </w:r>
      <w:r w:rsidRPr="00AB7DAB">
        <w:rPr>
          <w:i/>
          <w:iCs/>
          <w:noProof/>
          <w:szCs w:val="24"/>
        </w:rPr>
        <w:t>Students’environmental Literacy Profile in School-Based Nature and in School that Implement the Adiwiyata Program</w:t>
      </w:r>
      <w:r w:rsidRPr="00AB7DAB">
        <w:rPr>
          <w:noProof/>
          <w:szCs w:val="24"/>
        </w:rPr>
        <w:t>. 263–266.</w:t>
      </w:r>
    </w:p>
    <w:p w:rsidR="00AB7DAB" w:rsidRPr="00AB7DAB" w:rsidRDefault="00AB7DAB" w:rsidP="00AB7DAB">
      <w:pPr>
        <w:widowControl w:val="0"/>
        <w:autoSpaceDE w:val="0"/>
        <w:autoSpaceDN w:val="0"/>
        <w:adjustRightInd w:val="0"/>
        <w:spacing w:after="40"/>
        <w:ind w:left="480" w:hanging="480"/>
        <w:jc w:val="both"/>
        <w:rPr>
          <w:noProof/>
          <w:szCs w:val="24"/>
        </w:rPr>
      </w:pPr>
      <w:r w:rsidRPr="00AB7DAB">
        <w:rPr>
          <w:noProof/>
          <w:szCs w:val="24"/>
        </w:rPr>
        <w:t xml:space="preserve">Windyariani, S. (2018). Kemampuan Literasi Sains Siswa Sd Pada Konteks Melestarikan Capung. </w:t>
      </w:r>
      <w:r w:rsidRPr="00AB7DAB">
        <w:rPr>
          <w:i/>
          <w:iCs/>
          <w:noProof/>
          <w:szCs w:val="24"/>
        </w:rPr>
        <w:t>Biosfer: Jurnal Pendidikan Biologi</w:t>
      </w:r>
      <w:r w:rsidRPr="00AB7DAB">
        <w:rPr>
          <w:noProof/>
          <w:szCs w:val="24"/>
        </w:rPr>
        <w:t xml:space="preserve">, </w:t>
      </w:r>
      <w:r w:rsidRPr="00AB7DAB">
        <w:rPr>
          <w:i/>
          <w:iCs/>
          <w:noProof/>
          <w:szCs w:val="24"/>
        </w:rPr>
        <w:t>10</w:t>
      </w:r>
      <w:r w:rsidRPr="00AB7DAB">
        <w:rPr>
          <w:noProof/>
          <w:szCs w:val="24"/>
        </w:rPr>
        <w:t>(1), 17–21. https://doi.org/10.21009/biosferjpb.10-1.3</w:t>
      </w:r>
    </w:p>
    <w:p w:rsidR="00AB7DAB" w:rsidRPr="00AB7DAB" w:rsidRDefault="00AB7DAB" w:rsidP="00AB7DAB">
      <w:pPr>
        <w:widowControl w:val="0"/>
        <w:autoSpaceDE w:val="0"/>
        <w:autoSpaceDN w:val="0"/>
        <w:adjustRightInd w:val="0"/>
        <w:spacing w:after="40"/>
        <w:ind w:left="480" w:hanging="480"/>
        <w:jc w:val="both"/>
        <w:rPr>
          <w:noProof/>
          <w:szCs w:val="24"/>
        </w:rPr>
      </w:pPr>
      <w:r w:rsidRPr="00AB7DAB">
        <w:rPr>
          <w:noProof/>
          <w:szCs w:val="24"/>
        </w:rPr>
        <w:t xml:space="preserve">Yuenyong, C., &amp; Narjaikaew, P. (2009). Scientific literacy and thailand science education. </w:t>
      </w:r>
      <w:r w:rsidRPr="00AB7DAB">
        <w:rPr>
          <w:i/>
          <w:iCs/>
          <w:noProof/>
          <w:szCs w:val="24"/>
        </w:rPr>
        <w:t>International Journal of Environmental and Science Education</w:t>
      </w:r>
      <w:r w:rsidRPr="00AB7DAB">
        <w:rPr>
          <w:noProof/>
          <w:szCs w:val="24"/>
        </w:rPr>
        <w:t xml:space="preserve">, </w:t>
      </w:r>
      <w:r w:rsidRPr="00AB7DAB">
        <w:rPr>
          <w:i/>
          <w:iCs/>
          <w:noProof/>
          <w:szCs w:val="24"/>
        </w:rPr>
        <w:t>4</w:t>
      </w:r>
      <w:r w:rsidRPr="00AB7DAB">
        <w:rPr>
          <w:noProof/>
          <w:szCs w:val="24"/>
        </w:rPr>
        <w:t>(3), 335–349.</w:t>
      </w:r>
    </w:p>
    <w:p w:rsidR="00AB7DAB" w:rsidRPr="00AB7DAB" w:rsidRDefault="00AB7DAB" w:rsidP="00AB7DAB">
      <w:pPr>
        <w:widowControl w:val="0"/>
        <w:autoSpaceDE w:val="0"/>
        <w:autoSpaceDN w:val="0"/>
        <w:adjustRightInd w:val="0"/>
        <w:spacing w:after="40"/>
        <w:ind w:left="480" w:hanging="480"/>
        <w:jc w:val="both"/>
        <w:rPr>
          <w:noProof/>
        </w:rPr>
      </w:pPr>
      <w:r w:rsidRPr="00AB7DAB">
        <w:rPr>
          <w:noProof/>
          <w:szCs w:val="24"/>
        </w:rPr>
        <w:t xml:space="preserve">Yuliati, Y. (2017). Literasi Sains Dalam Pembelajaran Ipa. </w:t>
      </w:r>
      <w:r w:rsidRPr="00AB7DAB">
        <w:rPr>
          <w:i/>
          <w:iCs/>
          <w:noProof/>
          <w:szCs w:val="24"/>
        </w:rPr>
        <w:t>Jurnal Cakrawala Pendas</w:t>
      </w:r>
      <w:r w:rsidRPr="00AB7DAB">
        <w:rPr>
          <w:noProof/>
          <w:szCs w:val="24"/>
        </w:rPr>
        <w:t xml:space="preserve">, </w:t>
      </w:r>
      <w:r w:rsidRPr="00AB7DAB">
        <w:rPr>
          <w:i/>
          <w:iCs/>
          <w:noProof/>
          <w:szCs w:val="24"/>
        </w:rPr>
        <w:t>3</w:t>
      </w:r>
      <w:r w:rsidRPr="00AB7DAB">
        <w:rPr>
          <w:noProof/>
          <w:szCs w:val="24"/>
        </w:rPr>
        <w:t>(2), 21–28. https://doi.org/10.31949/jcp.v3i2.592</w:t>
      </w:r>
    </w:p>
    <w:p w:rsidR="009B7B3D" w:rsidRPr="009964D6" w:rsidRDefault="00031CF6" w:rsidP="00AB7DAB">
      <w:pPr>
        <w:pStyle w:val="9xxReferences"/>
      </w:pPr>
      <w:r w:rsidRPr="009964D6">
        <w:fldChar w:fldCharType="end"/>
      </w:r>
    </w:p>
    <w:p w:rsidR="001940C7" w:rsidRPr="0069718E" w:rsidRDefault="001940C7" w:rsidP="001940C7">
      <w:pPr>
        <w:rPr>
          <w:lang w:val="id-ID"/>
        </w:rPr>
      </w:pPr>
    </w:p>
    <w:sectPr w:rsidR="001940C7" w:rsidRPr="0069718E" w:rsidSect="004973E0">
      <w:headerReference w:type="even" r:id="rId16"/>
      <w:headerReference w:type="default" r:id="rId17"/>
      <w:footerReference w:type="even" r:id="rId18"/>
      <w:footerReference w:type="default" r:id="rId19"/>
      <w:footerReference w:type="first" r:id="rId20"/>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A67" w:rsidRDefault="00FB0A67" w:rsidP="00700A34">
      <w:r>
        <w:separator/>
      </w:r>
    </w:p>
  </w:endnote>
  <w:endnote w:type="continuationSeparator" w:id="0">
    <w:p w:rsidR="00FB0A67" w:rsidRDefault="00FB0A67"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30379132"/>
      <w:docPartObj>
        <w:docPartGallery w:val="Page Numbers (Bottom of Page)"/>
        <w:docPartUnique/>
      </w:docPartObj>
    </w:sdtPr>
    <w:sdtEndPr/>
    <w:sdtContent>
      <w:p w:rsidR="00FB0A67" w:rsidRPr="00AA0FA8" w:rsidRDefault="00FB0A67"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AB7DAB">
          <w:rPr>
            <w:noProof/>
            <w:sz w:val="24"/>
            <w:szCs w:val="24"/>
          </w:rPr>
          <w:t>2</w:t>
        </w:r>
        <w:r w:rsidRPr="00FF7B1A">
          <w:rPr>
            <w:sz w:val="24"/>
            <w:szCs w:val="24"/>
          </w:rPr>
          <w:fldChar w:fldCharType="end"/>
        </w:r>
        <w:r w:rsidRPr="00FF7B1A">
          <w:rPr>
            <w:sz w:val="24"/>
            <w:szCs w:val="24"/>
            <w:lang w:val="id-ID"/>
          </w:rPr>
          <w:t xml:space="preserve"> </w:t>
        </w:r>
        <w:r w:rsidRPr="00AA0FA8">
          <w:rPr>
            <w:sz w:val="22"/>
            <w:szCs w:val="22"/>
            <w:lang w:val="id-ID"/>
          </w:rPr>
          <w:t xml:space="preserve"> </w:t>
        </w:r>
        <w:r>
          <w:rPr>
            <w:sz w:val="22"/>
            <w:szCs w:val="22"/>
            <w:lang w:val="id-ID"/>
          </w:rPr>
          <w:t>|</w:t>
        </w:r>
        <w:r>
          <w:rPr>
            <w:sz w:val="22"/>
            <w:szCs w:val="22"/>
            <w:lang w:val="id-ID"/>
          </w:rPr>
          <w:tab/>
        </w:r>
        <w:r w:rsidRPr="00FF7B1A">
          <w:rPr>
            <w:lang w:val="id-ID"/>
          </w:rPr>
          <w:t xml:space="preserve"> </w:t>
        </w:r>
        <w:r>
          <w:rPr>
            <w:b/>
            <w:bCs/>
            <w:noProof/>
          </w:rPr>
          <w:fldChar w:fldCharType="begin"/>
        </w:r>
        <w:r>
          <w:rPr>
            <w:b/>
            <w:bCs/>
            <w:noProof/>
          </w:rPr>
          <w:instrText xml:space="preserve"> STYLEREF  "01. Nama Jurnal - Journal Name"  \* MERGEFORMAT </w:instrText>
        </w:r>
        <w:r>
          <w:rPr>
            <w:b/>
            <w:bCs/>
            <w:noProof/>
          </w:rPr>
          <w:fldChar w:fldCharType="separate"/>
        </w:r>
        <w:r w:rsidR="00AB7DAB">
          <w:rPr>
            <w:b/>
            <w:bCs/>
            <w:noProof/>
          </w:rPr>
          <w:t>JNSI</w:t>
        </w:r>
        <w:r w:rsidR="00AB7DAB" w:rsidRPr="00AB7DAB">
          <w:rPr>
            <w:bCs/>
            <w:noProof/>
          </w:rPr>
          <w:t>: Journal of Natural</w:t>
        </w:r>
        <w:r w:rsidR="00AB7DAB" w:rsidRPr="00AB7DAB">
          <w:rPr>
            <w:noProof/>
          </w:rPr>
          <w:t xml:space="preserve"> Science and Integration</w:t>
        </w:r>
        <w:r>
          <w:rPr>
            <w:noProof/>
          </w:rPr>
          <w:fldChar w:fldCharType="end"/>
        </w:r>
        <w:r w:rsidRPr="00FF7B1A">
          <w:rPr>
            <w:iCs/>
            <w:lang w:val="id-ID"/>
          </w:rPr>
          <w:t xml:space="preserve">, </w:t>
        </w:r>
        <w:r w:rsidR="00AB7DAB">
          <w:fldChar w:fldCharType="begin"/>
        </w:r>
        <w:r w:rsidR="00AB7DAB">
          <w:instrText xml:space="preserve"> STYLEREF  "03. Volume"  \* MERGEFORMAT </w:instrText>
        </w:r>
        <w:r w:rsidR="00AB7DAB">
          <w:fldChar w:fldCharType="separate"/>
        </w:r>
        <w:r w:rsidR="00AB7DAB" w:rsidRPr="00AB7DAB">
          <w:rPr>
            <w:b/>
            <w:bCs/>
            <w:noProof/>
          </w:rPr>
          <w:t>Vol. 2, No. 2, Oktober 2019, Hal 1-3</w:t>
        </w:r>
        <w:r w:rsidR="00AB7DAB">
          <w:rPr>
            <w:b/>
            <w:bCs/>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79133"/>
      <w:docPartObj>
        <w:docPartGallery w:val="Page Numbers (Bottom of Page)"/>
        <w:docPartUnique/>
      </w:docPartObj>
    </w:sdtPr>
    <w:sdtEndPr/>
    <w:sdtContent>
      <w:p w:rsidR="00FB0A67" w:rsidRPr="00AA0FA8" w:rsidRDefault="00FB0A67" w:rsidP="006852E9">
        <w:pPr>
          <w:pStyle w:val="Footer"/>
          <w:tabs>
            <w:tab w:val="clear" w:pos="4680"/>
            <w:tab w:val="clear" w:pos="9360"/>
            <w:tab w:val="left" w:pos="0"/>
            <w:tab w:val="center" w:pos="3402"/>
            <w:tab w:val="right" w:pos="9072"/>
          </w:tabs>
          <w:ind w:firstLine="0"/>
          <w:jc w:val="both"/>
        </w:pPr>
        <w:r>
          <w:rPr>
            <w:b/>
            <w:bCs/>
            <w:noProof/>
          </w:rPr>
          <w:fldChar w:fldCharType="begin"/>
        </w:r>
        <w:r>
          <w:rPr>
            <w:b/>
            <w:bCs/>
            <w:noProof/>
          </w:rPr>
          <w:instrText xml:space="preserve"> STYLEREF  "01. Nama Jurnal - Journal Name"  \* MERGEFORMAT </w:instrText>
        </w:r>
        <w:r>
          <w:rPr>
            <w:b/>
            <w:bCs/>
            <w:noProof/>
          </w:rPr>
          <w:fldChar w:fldCharType="separate"/>
        </w:r>
        <w:r w:rsidR="00AB7DAB">
          <w:rPr>
            <w:b/>
            <w:bCs/>
            <w:noProof/>
          </w:rPr>
          <w:t>JNSI</w:t>
        </w:r>
        <w:r w:rsidR="00AB7DAB" w:rsidRPr="00AB7DAB">
          <w:rPr>
            <w:bCs/>
            <w:noProof/>
          </w:rPr>
          <w:t>: Journal of Natural</w:t>
        </w:r>
        <w:r w:rsidR="00AB7DAB" w:rsidRPr="00AB7DAB">
          <w:rPr>
            <w:noProof/>
          </w:rPr>
          <w:t xml:space="preserve"> Science and Integration</w:t>
        </w:r>
        <w:r>
          <w:rPr>
            <w:noProof/>
          </w:rPr>
          <w:fldChar w:fldCharType="end"/>
        </w:r>
        <w:r w:rsidRPr="00FF7B1A">
          <w:rPr>
            <w:iCs/>
            <w:lang w:val="id-ID"/>
          </w:rPr>
          <w:t xml:space="preserve">, </w:t>
        </w:r>
        <w:r w:rsidR="00AB7DAB">
          <w:fldChar w:fldCharType="begin"/>
        </w:r>
        <w:r w:rsidR="00AB7DAB">
          <w:instrText xml:space="preserve"> STYLEREF  "03. Volume"  \* MERGEFORMAT </w:instrText>
        </w:r>
        <w:r w:rsidR="00AB7DAB">
          <w:fldChar w:fldCharType="separate"/>
        </w:r>
        <w:r w:rsidR="00AB7DAB" w:rsidRPr="00AB7DAB">
          <w:rPr>
            <w:b/>
            <w:bCs/>
            <w:noProof/>
          </w:rPr>
          <w:t>Vol. 2, No. 2, Oktober 2019, Hal 1-3</w:t>
        </w:r>
        <w:r w:rsidR="00AB7DAB">
          <w:rPr>
            <w:b/>
            <w:bCs/>
            <w:noProof/>
          </w:rPr>
          <w:fldChar w:fldCharType="end"/>
        </w:r>
        <w:r>
          <w:rPr>
            <w:i/>
            <w:iCs/>
            <w:sz w:val="22"/>
            <w:szCs w:val="22"/>
            <w:lang w:val="id-ID"/>
          </w:rPr>
          <w:t xml:space="preserve"> </w:t>
        </w:r>
        <w:r w:rsidRPr="00AA0FA8">
          <w:rPr>
            <w:sz w:val="22"/>
            <w:szCs w:val="22"/>
            <w:lang w:val="id-ID"/>
          </w:rPr>
          <w:t xml:space="preserve"> </w:t>
        </w:r>
        <w:r>
          <w:rPr>
            <w:sz w:val="22"/>
            <w:szCs w:val="22"/>
            <w:lang w:val="id-ID"/>
          </w:rPr>
          <w:tab/>
          <w:t>|</w:t>
        </w:r>
        <w:r w:rsidRPr="00AA0FA8">
          <w:rPr>
            <w:sz w:val="22"/>
            <w:szCs w:val="22"/>
            <w:lang w:val="id-ID"/>
          </w:rPr>
          <w:t xml:space="preserve"> </w:t>
        </w:r>
        <w:r w:rsidRPr="00FF7B1A">
          <w:rPr>
            <w:sz w:val="24"/>
            <w:szCs w:val="24"/>
            <w:lang w:val="id-ID"/>
          </w:rPr>
          <w:t xml:space="preserve"> </w:t>
        </w: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AB7DAB">
          <w:rPr>
            <w:noProof/>
            <w:sz w:val="24"/>
            <w:szCs w:val="24"/>
          </w:rPr>
          <w:t>9</w:t>
        </w:r>
        <w:r w:rsidRPr="00FF7B1A">
          <w:rPr>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4823"/>
      <w:docPartObj>
        <w:docPartGallery w:val="Page Numbers (Bottom of Page)"/>
        <w:docPartUnique/>
      </w:docPartObj>
    </w:sdtPr>
    <w:sdtEndPr/>
    <w:sdtContent>
      <w:p w:rsidR="00FB0A67" w:rsidRPr="00AA0FA8" w:rsidRDefault="00FB0A67" w:rsidP="006852E9">
        <w:pPr>
          <w:pStyle w:val="Footer"/>
          <w:tabs>
            <w:tab w:val="clear" w:pos="4680"/>
            <w:tab w:val="clear" w:pos="9360"/>
            <w:tab w:val="left" w:pos="0"/>
            <w:tab w:val="center" w:pos="3402"/>
            <w:tab w:val="right" w:pos="9072"/>
          </w:tabs>
          <w:ind w:firstLine="0"/>
          <w:jc w:val="both"/>
        </w:pPr>
        <w:r>
          <w:rPr>
            <w:b/>
            <w:bCs/>
            <w:noProof/>
          </w:rPr>
          <w:fldChar w:fldCharType="begin"/>
        </w:r>
        <w:r>
          <w:rPr>
            <w:b/>
            <w:bCs/>
            <w:noProof/>
          </w:rPr>
          <w:instrText xml:space="preserve"> STYLEREF  "01. Nama Jurnal - Journal Name"  \* MERGEFORMAT </w:instrText>
        </w:r>
        <w:r>
          <w:rPr>
            <w:b/>
            <w:bCs/>
            <w:noProof/>
          </w:rPr>
          <w:fldChar w:fldCharType="separate"/>
        </w:r>
        <w:r w:rsidR="00AB7DAB">
          <w:rPr>
            <w:b/>
            <w:bCs/>
            <w:noProof/>
          </w:rPr>
          <w:t>JNSI</w:t>
        </w:r>
        <w:r w:rsidR="00AB7DAB" w:rsidRPr="00AB7DAB">
          <w:rPr>
            <w:bCs/>
            <w:noProof/>
          </w:rPr>
          <w:t>: Journal of</w:t>
        </w:r>
        <w:r w:rsidR="00AB7DAB" w:rsidRPr="00AB7DAB">
          <w:rPr>
            <w:noProof/>
          </w:rPr>
          <w:t xml:space="preserve"> Natural Science and Integration</w:t>
        </w:r>
        <w:r>
          <w:rPr>
            <w:noProof/>
          </w:rPr>
          <w:fldChar w:fldCharType="end"/>
        </w:r>
        <w:r w:rsidRPr="00FF7B1A">
          <w:rPr>
            <w:iCs/>
            <w:lang w:val="id-ID"/>
          </w:rPr>
          <w:t xml:space="preserve">, </w:t>
        </w:r>
        <w:r w:rsidR="00AB7DAB">
          <w:fldChar w:fldCharType="begin"/>
        </w:r>
        <w:r w:rsidR="00AB7DAB">
          <w:instrText xml:space="preserve"> STYLEREF  "03. Volume"  \* MERGEFORMAT </w:instrText>
        </w:r>
        <w:r w:rsidR="00AB7DAB">
          <w:fldChar w:fldCharType="separate"/>
        </w:r>
        <w:r w:rsidR="00AB7DAB">
          <w:rPr>
            <w:noProof/>
          </w:rPr>
          <w:t>Vol. 2, No. 2, Oktober 2019, Hal 1-3</w:t>
        </w:r>
        <w:r w:rsidR="00AB7DAB">
          <w:rPr>
            <w:noProof/>
          </w:rPr>
          <w:fldChar w:fldCharType="end"/>
        </w:r>
        <w:r>
          <w:rPr>
            <w:i/>
            <w:iCs/>
            <w:sz w:val="22"/>
            <w:szCs w:val="22"/>
            <w:lang w:val="id-ID"/>
          </w:rPr>
          <w:t xml:space="preserve"> </w:t>
        </w:r>
        <w:r w:rsidRPr="00AA0FA8">
          <w:rPr>
            <w:sz w:val="22"/>
            <w:szCs w:val="22"/>
            <w:lang w:val="id-ID"/>
          </w:rPr>
          <w:t xml:space="preserve"> </w:t>
        </w:r>
        <w:r>
          <w:rPr>
            <w:sz w:val="22"/>
            <w:szCs w:val="22"/>
            <w:lang w:val="id-ID"/>
          </w:rPr>
          <w:tab/>
          <w:t>|</w:t>
        </w:r>
        <w:r w:rsidRPr="00AA0FA8">
          <w:rPr>
            <w:sz w:val="22"/>
            <w:szCs w:val="22"/>
            <w:lang w:val="id-ID"/>
          </w:rPr>
          <w:t xml:space="preserve">  </w:t>
        </w: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AB7DAB">
          <w:rPr>
            <w:noProof/>
            <w:sz w:val="24"/>
            <w:szCs w:val="24"/>
          </w:rPr>
          <w:t>1</w:t>
        </w:r>
        <w:r w:rsidRPr="00FF7B1A">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A67" w:rsidRDefault="00FB0A67" w:rsidP="00700A34">
      <w:r>
        <w:separator/>
      </w:r>
    </w:p>
  </w:footnote>
  <w:footnote w:type="continuationSeparator" w:id="0">
    <w:p w:rsidR="00FB0A67" w:rsidRDefault="00FB0A67" w:rsidP="00700A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A67" w:rsidRPr="00B94025" w:rsidRDefault="00FB0A67" w:rsidP="00496601">
    <w:pPr>
      <w:pStyle w:val="HeaderKiri"/>
      <w:rPr>
        <w:lang w:val="en-US"/>
      </w:rPr>
    </w:pPr>
    <w:r>
      <w:rPr>
        <w:lang w:val="en-US"/>
      </w:rPr>
      <w:t>Safrizal</w:t>
    </w:r>
    <w:r>
      <w:t xml:space="preserve">, </w:t>
    </w:r>
    <w:r>
      <w:rPr>
        <w:lang w:val="en-US"/>
      </w:rPr>
      <w:t>Lenny Zaroha</w:t>
    </w:r>
    <w:r>
      <w:t xml:space="preserve">, </w:t>
    </w:r>
    <w:r>
      <w:rPr>
        <w:lang w:val="en-US"/>
      </w:rPr>
      <w:t>Resti Yulia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A67" w:rsidRPr="00496601" w:rsidRDefault="00FB0A67" w:rsidP="008F363A">
    <w:pPr>
      <w:pStyle w:val="Headerkanan"/>
    </w:pPr>
    <w:r w:rsidRPr="00496601">
      <w:t xml:space="preserve"> </w:t>
    </w:r>
    <w:r w:rsidRPr="00496601">
      <w:rPr>
        <w:lang w:val="en-US"/>
      </w:rPr>
      <w:fldChar w:fldCharType="begin"/>
    </w:r>
    <w:r w:rsidRPr="00496601">
      <w:rPr>
        <w:lang w:val="en-US"/>
      </w:rPr>
      <w:instrText xml:space="preserve"> STYLEREF  "1. Judul - Title"  \* MERGEFORMAT </w:instrText>
    </w:r>
    <w:r w:rsidRPr="00496601">
      <w:rPr>
        <w:lang w:val="en-US"/>
      </w:rPr>
      <w:fldChar w:fldCharType="separate"/>
    </w:r>
    <w:r w:rsidR="00AB7DAB">
      <w:rPr>
        <w:lang w:val="en-US"/>
      </w:rPr>
      <w:t>Kemampuan Literasi Sains Siswa Sekolah Dasar di Sekolah Adiwiyata (Studi Deksriptif  di SD Adiwiyata X Kota Padang)</w:t>
    </w:r>
    <w:r w:rsidRPr="00496601">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num w:numId="1">
    <w:abstractNumId w:val="1"/>
  </w:num>
  <w:num w:numId="2">
    <w:abstractNumId w:val="0"/>
  </w:num>
  <w:num w:numId="3">
    <w:abstractNumId w:val="3"/>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defaultTabStop w:val="720"/>
  <w:evenAndOddHeaders/>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A34"/>
    <w:rsid w:val="00000EBE"/>
    <w:rsid w:val="0000532F"/>
    <w:rsid w:val="00006AFE"/>
    <w:rsid w:val="00023E91"/>
    <w:rsid w:val="0003059C"/>
    <w:rsid w:val="0003186E"/>
    <w:rsid w:val="00031CF6"/>
    <w:rsid w:val="000320C2"/>
    <w:rsid w:val="000323C9"/>
    <w:rsid w:val="000343E5"/>
    <w:rsid w:val="0003599A"/>
    <w:rsid w:val="00035CB2"/>
    <w:rsid w:val="00037408"/>
    <w:rsid w:val="00037FA6"/>
    <w:rsid w:val="000411EE"/>
    <w:rsid w:val="00042281"/>
    <w:rsid w:val="00042E0E"/>
    <w:rsid w:val="00047629"/>
    <w:rsid w:val="00047730"/>
    <w:rsid w:val="00051B42"/>
    <w:rsid w:val="00054777"/>
    <w:rsid w:val="0005493C"/>
    <w:rsid w:val="00057647"/>
    <w:rsid w:val="000579E3"/>
    <w:rsid w:val="000608D3"/>
    <w:rsid w:val="000615E6"/>
    <w:rsid w:val="000635F2"/>
    <w:rsid w:val="00064A1D"/>
    <w:rsid w:val="00065D08"/>
    <w:rsid w:val="00070D21"/>
    <w:rsid w:val="000710B6"/>
    <w:rsid w:val="00075715"/>
    <w:rsid w:val="0007716B"/>
    <w:rsid w:val="00081BFC"/>
    <w:rsid w:val="00090303"/>
    <w:rsid w:val="000A19C8"/>
    <w:rsid w:val="000A3C6A"/>
    <w:rsid w:val="000B06FE"/>
    <w:rsid w:val="000B0E23"/>
    <w:rsid w:val="000B1B45"/>
    <w:rsid w:val="000B45DB"/>
    <w:rsid w:val="000C180E"/>
    <w:rsid w:val="000C395F"/>
    <w:rsid w:val="000C6980"/>
    <w:rsid w:val="000D00AA"/>
    <w:rsid w:val="000D53B7"/>
    <w:rsid w:val="000E0739"/>
    <w:rsid w:val="000E5A94"/>
    <w:rsid w:val="000F5271"/>
    <w:rsid w:val="000F7BB4"/>
    <w:rsid w:val="00100612"/>
    <w:rsid w:val="001011B7"/>
    <w:rsid w:val="00106AC0"/>
    <w:rsid w:val="00110A31"/>
    <w:rsid w:val="00113B14"/>
    <w:rsid w:val="00114ED9"/>
    <w:rsid w:val="001154C7"/>
    <w:rsid w:val="00121DC6"/>
    <w:rsid w:val="00122BB0"/>
    <w:rsid w:val="001238FB"/>
    <w:rsid w:val="00123F3A"/>
    <w:rsid w:val="001245A4"/>
    <w:rsid w:val="001333B0"/>
    <w:rsid w:val="00136F57"/>
    <w:rsid w:val="00137086"/>
    <w:rsid w:val="00137746"/>
    <w:rsid w:val="0014024C"/>
    <w:rsid w:val="00146FBE"/>
    <w:rsid w:val="0014716D"/>
    <w:rsid w:val="00147592"/>
    <w:rsid w:val="00151317"/>
    <w:rsid w:val="00152E0D"/>
    <w:rsid w:val="001545A0"/>
    <w:rsid w:val="0015606C"/>
    <w:rsid w:val="001578BA"/>
    <w:rsid w:val="00161011"/>
    <w:rsid w:val="0016377B"/>
    <w:rsid w:val="0017087F"/>
    <w:rsid w:val="00172E34"/>
    <w:rsid w:val="0017599F"/>
    <w:rsid w:val="00183381"/>
    <w:rsid w:val="001834F5"/>
    <w:rsid w:val="0018542D"/>
    <w:rsid w:val="001917AD"/>
    <w:rsid w:val="00193BF1"/>
    <w:rsid w:val="001940C7"/>
    <w:rsid w:val="001955BE"/>
    <w:rsid w:val="001A36AF"/>
    <w:rsid w:val="001A443E"/>
    <w:rsid w:val="001B3ED2"/>
    <w:rsid w:val="001B4C3A"/>
    <w:rsid w:val="001B5114"/>
    <w:rsid w:val="001B52AB"/>
    <w:rsid w:val="001C167B"/>
    <w:rsid w:val="001C18A9"/>
    <w:rsid w:val="001C2016"/>
    <w:rsid w:val="001C242C"/>
    <w:rsid w:val="001D379A"/>
    <w:rsid w:val="001D3C2D"/>
    <w:rsid w:val="001D6112"/>
    <w:rsid w:val="001E0A24"/>
    <w:rsid w:val="001E1058"/>
    <w:rsid w:val="001E59FA"/>
    <w:rsid w:val="001E77CE"/>
    <w:rsid w:val="001F2D2C"/>
    <w:rsid w:val="001F3481"/>
    <w:rsid w:val="001F4083"/>
    <w:rsid w:val="001F6EDE"/>
    <w:rsid w:val="001F77F0"/>
    <w:rsid w:val="001F7EAD"/>
    <w:rsid w:val="002061E2"/>
    <w:rsid w:val="00210A30"/>
    <w:rsid w:val="00211822"/>
    <w:rsid w:val="00216A35"/>
    <w:rsid w:val="00220998"/>
    <w:rsid w:val="002214C1"/>
    <w:rsid w:val="0022290E"/>
    <w:rsid w:val="00225FA1"/>
    <w:rsid w:val="0022731B"/>
    <w:rsid w:val="00227482"/>
    <w:rsid w:val="00236408"/>
    <w:rsid w:val="00245A87"/>
    <w:rsid w:val="002507D5"/>
    <w:rsid w:val="00252391"/>
    <w:rsid w:val="0025654D"/>
    <w:rsid w:val="0025659D"/>
    <w:rsid w:val="00257BA8"/>
    <w:rsid w:val="00257D13"/>
    <w:rsid w:val="0026488E"/>
    <w:rsid w:val="0027089B"/>
    <w:rsid w:val="00271562"/>
    <w:rsid w:val="00272B95"/>
    <w:rsid w:val="002863BA"/>
    <w:rsid w:val="00287643"/>
    <w:rsid w:val="002914B5"/>
    <w:rsid w:val="00292AA7"/>
    <w:rsid w:val="00294A62"/>
    <w:rsid w:val="00294B69"/>
    <w:rsid w:val="00295156"/>
    <w:rsid w:val="002957A4"/>
    <w:rsid w:val="00297064"/>
    <w:rsid w:val="00297565"/>
    <w:rsid w:val="002A0774"/>
    <w:rsid w:val="002A6E6E"/>
    <w:rsid w:val="002A75EE"/>
    <w:rsid w:val="002B1366"/>
    <w:rsid w:val="002B174A"/>
    <w:rsid w:val="002B28E9"/>
    <w:rsid w:val="002B73CA"/>
    <w:rsid w:val="002B7B6A"/>
    <w:rsid w:val="002D0F8E"/>
    <w:rsid w:val="002D1910"/>
    <w:rsid w:val="002D231B"/>
    <w:rsid w:val="002D30DB"/>
    <w:rsid w:val="002D403B"/>
    <w:rsid w:val="002D45CE"/>
    <w:rsid w:val="002D5001"/>
    <w:rsid w:val="002E24A6"/>
    <w:rsid w:val="002E2F2C"/>
    <w:rsid w:val="002F4E45"/>
    <w:rsid w:val="0030200F"/>
    <w:rsid w:val="00304B75"/>
    <w:rsid w:val="00306FD5"/>
    <w:rsid w:val="00307285"/>
    <w:rsid w:val="00311098"/>
    <w:rsid w:val="00312B7D"/>
    <w:rsid w:val="00314506"/>
    <w:rsid w:val="003204DA"/>
    <w:rsid w:val="003224C3"/>
    <w:rsid w:val="0032259C"/>
    <w:rsid w:val="00322F11"/>
    <w:rsid w:val="003242BF"/>
    <w:rsid w:val="003246A0"/>
    <w:rsid w:val="00324CF5"/>
    <w:rsid w:val="003272C8"/>
    <w:rsid w:val="00332E37"/>
    <w:rsid w:val="00340E6A"/>
    <w:rsid w:val="00341830"/>
    <w:rsid w:val="0034411C"/>
    <w:rsid w:val="003455B3"/>
    <w:rsid w:val="00345B8F"/>
    <w:rsid w:val="003470FF"/>
    <w:rsid w:val="00347332"/>
    <w:rsid w:val="0035032A"/>
    <w:rsid w:val="003522EF"/>
    <w:rsid w:val="0035730F"/>
    <w:rsid w:val="003603BF"/>
    <w:rsid w:val="00362632"/>
    <w:rsid w:val="00365753"/>
    <w:rsid w:val="003668A2"/>
    <w:rsid w:val="0037158D"/>
    <w:rsid w:val="003717C9"/>
    <w:rsid w:val="00372435"/>
    <w:rsid w:val="00372EB8"/>
    <w:rsid w:val="00373C54"/>
    <w:rsid w:val="00380956"/>
    <w:rsid w:val="003832F9"/>
    <w:rsid w:val="00384BBC"/>
    <w:rsid w:val="00386B54"/>
    <w:rsid w:val="00387AFB"/>
    <w:rsid w:val="00391967"/>
    <w:rsid w:val="0039209F"/>
    <w:rsid w:val="003950A9"/>
    <w:rsid w:val="003960EC"/>
    <w:rsid w:val="003960F2"/>
    <w:rsid w:val="003970A3"/>
    <w:rsid w:val="003972FC"/>
    <w:rsid w:val="00397EAE"/>
    <w:rsid w:val="003A37A9"/>
    <w:rsid w:val="003A41FF"/>
    <w:rsid w:val="003A463D"/>
    <w:rsid w:val="003A59B8"/>
    <w:rsid w:val="003A69DD"/>
    <w:rsid w:val="003B1B40"/>
    <w:rsid w:val="003B3223"/>
    <w:rsid w:val="003B5E8B"/>
    <w:rsid w:val="003C16A5"/>
    <w:rsid w:val="003C60BC"/>
    <w:rsid w:val="003D050F"/>
    <w:rsid w:val="003D109B"/>
    <w:rsid w:val="003D6C2B"/>
    <w:rsid w:val="003E128C"/>
    <w:rsid w:val="003E350B"/>
    <w:rsid w:val="003E605F"/>
    <w:rsid w:val="003E677C"/>
    <w:rsid w:val="003F3DAB"/>
    <w:rsid w:val="003F6577"/>
    <w:rsid w:val="003F7ED6"/>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1C92"/>
    <w:rsid w:val="00443950"/>
    <w:rsid w:val="00445536"/>
    <w:rsid w:val="00450CF3"/>
    <w:rsid w:val="00450ED0"/>
    <w:rsid w:val="00451AF7"/>
    <w:rsid w:val="0045282C"/>
    <w:rsid w:val="00452983"/>
    <w:rsid w:val="00453308"/>
    <w:rsid w:val="00453A25"/>
    <w:rsid w:val="00454353"/>
    <w:rsid w:val="00455B99"/>
    <w:rsid w:val="00457A98"/>
    <w:rsid w:val="004600A9"/>
    <w:rsid w:val="004606AA"/>
    <w:rsid w:val="00460A83"/>
    <w:rsid w:val="00462268"/>
    <w:rsid w:val="0046253A"/>
    <w:rsid w:val="00462655"/>
    <w:rsid w:val="004652B1"/>
    <w:rsid w:val="00466590"/>
    <w:rsid w:val="004745AD"/>
    <w:rsid w:val="004776D7"/>
    <w:rsid w:val="00481E87"/>
    <w:rsid w:val="004844D5"/>
    <w:rsid w:val="0048534A"/>
    <w:rsid w:val="00493EF9"/>
    <w:rsid w:val="00496601"/>
    <w:rsid w:val="004973E0"/>
    <w:rsid w:val="004A0E13"/>
    <w:rsid w:val="004A104D"/>
    <w:rsid w:val="004A4680"/>
    <w:rsid w:val="004A4EA3"/>
    <w:rsid w:val="004A5E13"/>
    <w:rsid w:val="004A704B"/>
    <w:rsid w:val="004B01D7"/>
    <w:rsid w:val="004B5D06"/>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6C7B"/>
    <w:rsid w:val="004E7877"/>
    <w:rsid w:val="004F1789"/>
    <w:rsid w:val="004F1D7D"/>
    <w:rsid w:val="004F2D37"/>
    <w:rsid w:val="0050251A"/>
    <w:rsid w:val="00503945"/>
    <w:rsid w:val="005078C7"/>
    <w:rsid w:val="005119A3"/>
    <w:rsid w:val="005166BA"/>
    <w:rsid w:val="00516E8E"/>
    <w:rsid w:val="00517E82"/>
    <w:rsid w:val="00521A95"/>
    <w:rsid w:val="005227B0"/>
    <w:rsid w:val="0052397D"/>
    <w:rsid w:val="005259F7"/>
    <w:rsid w:val="00530FEA"/>
    <w:rsid w:val="00531083"/>
    <w:rsid w:val="0053294B"/>
    <w:rsid w:val="0053470B"/>
    <w:rsid w:val="00534CC7"/>
    <w:rsid w:val="00534D2D"/>
    <w:rsid w:val="00535C86"/>
    <w:rsid w:val="00537284"/>
    <w:rsid w:val="005375D1"/>
    <w:rsid w:val="00544EB2"/>
    <w:rsid w:val="0054547B"/>
    <w:rsid w:val="00550644"/>
    <w:rsid w:val="00554262"/>
    <w:rsid w:val="00555B85"/>
    <w:rsid w:val="00560DC7"/>
    <w:rsid w:val="00564545"/>
    <w:rsid w:val="00567117"/>
    <w:rsid w:val="00571E33"/>
    <w:rsid w:val="0057361D"/>
    <w:rsid w:val="00576D1F"/>
    <w:rsid w:val="00580685"/>
    <w:rsid w:val="0058618E"/>
    <w:rsid w:val="005863F8"/>
    <w:rsid w:val="00590597"/>
    <w:rsid w:val="00592065"/>
    <w:rsid w:val="0059491E"/>
    <w:rsid w:val="005A09A5"/>
    <w:rsid w:val="005A0DC8"/>
    <w:rsid w:val="005A29D2"/>
    <w:rsid w:val="005A2FF5"/>
    <w:rsid w:val="005A3BE4"/>
    <w:rsid w:val="005A7CAA"/>
    <w:rsid w:val="005A7EED"/>
    <w:rsid w:val="005B099F"/>
    <w:rsid w:val="005B2A24"/>
    <w:rsid w:val="005B3688"/>
    <w:rsid w:val="005B44AA"/>
    <w:rsid w:val="005B7C01"/>
    <w:rsid w:val="005C0FCC"/>
    <w:rsid w:val="005C4BBC"/>
    <w:rsid w:val="005C5BCB"/>
    <w:rsid w:val="005C6C73"/>
    <w:rsid w:val="005D0601"/>
    <w:rsid w:val="005D2CFA"/>
    <w:rsid w:val="005D3F36"/>
    <w:rsid w:val="005E112A"/>
    <w:rsid w:val="005E2640"/>
    <w:rsid w:val="005E337A"/>
    <w:rsid w:val="005E740B"/>
    <w:rsid w:val="005F1FD8"/>
    <w:rsid w:val="005F5060"/>
    <w:rsid w:val="005F58DB"/>
    <w:rsid w:val="005F5C3C"/>
    <w:rsid w:val="005F7C4B"/>
    <w:rsid w:val="006063AA"/>
    <w:rsid w:val="006100CB"/>
    <w:rsid w:val="006105AF"/>
    <w:rsid w:val="0061155E"/>
    <w:rsid w:val="00612E5E"/>
    <w:rsid w:val="006140A3"/>
    <w:rsid w:val="00615FB4"/>
    <w:rsid w:val="00616B06"/>
    <w:rsid w:val="006173D2"/>
    <w:rsid w:val="006208AA"/>
    <w:rsid w:val="00620EF7"/>
    <w:rsid w:val="00627207"/>
    <w:rsid w:val="00630B81"/>
    <w:rsid w:val="00631988"/>
    <w:rsid w:val="006358CB"/>
    <w:rsid w:val="006367C0"/>
    <w:rsid w:val="006417AB"/>
    <w:rsid w:val="006435A6"/>
    <w:rsid w:val="006448C4"/>
    <w:rsid w:val="006509A2"/>
    <w:rsid w:val="00650C60"/>
    <w:rsid w:val="00650FD9"/>
    <w:rsid w:val="006516F4"/>
    <w:rsid w:val="00653656"/>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40DB"/>
    <w:rsid w:val="00694577"/>
    <w:rsid w:val="0069718E"/>
    <w:rsid w:val="006A09E9"/>
    <w:rsid w:val="006A26E4"/>
    <w:rsid w:val="006A4C0C"/>
    <w:rsid w:val="006A660F"/>
    <w:rsid w:val="006B1072"/>
    <w:rsid w:val="006C60AD"/>
    <w:rsid w:val="006D340F"/>
    <w:rsid w:val="006D6E28"/>
    <w:rsid w:val="006E0846"/>
    <w:rsid w:val="006E1635"/>
    <w:rsid w:val="006E3266"/>
    <w:rsid w:val="006E3F37"/>
    <w:rsid w:val="006E4F6A"/>
    <w:rsid w:val="006F0A9F"/>
    <w:rsid w:val="006F1C2E"/>
    <w:rsid w:val="006F4CC6"/>
    <w:rsid w:val="006F507D"/>
    <w:rsid w:val="006F6C3C"/>
    <w:rsid w:val="006F7770"/>
    <w:rsid w:val="007003E0"/>
    <w:rsid w:val="00700A34"/>
    <w:rsid w:val="007024BA"/>
    <w:rsid w:val="00704ABF"/>
    <w:rsid w:val="00704C8D"/>
    <w:rsid w:val="007050EF"/>
    <w:rsid w:val="0070567C"/>
    <w:rsid w:val="0070591C"/>
    <w:rsid w:val="0070701B"/>
    <w:rsid w:val="007118D0"/>
    <w:rsid w:val="00712B7E"/>
    <w:rsid w:val="00714DD0"/>
    <w:rsid w:val="00715935"/>
    <w:rsid w:val="00724F26"/>
    <w:rsid w:val="007305D6"/>
    <w:rsid w:val="00731397"/>
    <w:rsid w:val="0073240F"/>
    <w:rsid w:val="007333F6"/>
    <w:rsid w:val="00733430"/>
    <w:rsid w:val="007407D1"/>
    <w:rsid w:val="007408DA"/>
    <w:rsid w:val="00742CCF"/>
    <w:rsid w:val="00744BD5"/>
    <w:rsid w:val="00752375"/>
    <w:rsid w:val="00754978"/>
    <w:rsid w:val="00754CA2"/>
    <w:rsid w:val="00755D19"/>
    <w:rsid w:val="007571D4"/>
    <w:rsid w:val="007575CA"/>
    <w:rsid w:val="007607A3"/>
    <w:rsid w:val="00760BF6"/>
    <w:rsid w:val="0076526B"/>
    <w:rsid w:val="00765F0B"/>
    <w:rsid w:val="007676AA"/>
    <w:rsid w:val="007708C5"/>
    <w:rsid w:val="007716C5"/>
    <w:rsid w:val="007746DC"/>
    <w:rsid w:val="00774AA5"/>
    <w:rsid w:val="007820F7"/>
    <w:rsid w:val="00784C03"/>
    <w:rsid w:val="00785316"/>
    <w:rsid w:val="00787758"/>
    <w:rsid w:val="00790B4E"/>
    <w:rsid w:val="00792B70"/>
    <w:rsid w:val="00794525"/>
    <w:rsid w:val="007A00A7"/>
    <w:rsid w:val="007A23E8"/>
    <w:rsid w:val="007A50C9"/>
    <w:rsid w:val="007A5730"/>
    <w:rsid w:val="007A6C00"/>
    <w:rsid w:val="007A7395"/>
    <w:rsid w:val="007B2D61"/>
    <w:rsid w:val="007B47CC"/>
    <w:rsid w:val="007B5DDC"/>
    <w:rsid w:val="007B616B"/>
    <w:rsid w:val="007B6F54"/>
    <w:rsid w:val="007B7E97"/>
    <w:rsid w:val="007D1863"/>
    <w:rsid w:val="007D69E4"/>
    <w:rsid w:val="007E0850"/>
    <w:rsid w:val="007E0878"/>
    <w:rsid w:val="007E0CBC"/>
    <w:rsid w:val="007E11D7"/>
    <w:rsid w:val="007E1BBE"/>
    <w:rsid w:val="007E5DE9"/>
    <w:rsid w:val="007E5EF8"/>
    <w:rsid w:val="007E7146"/>
    <w:rsid w:val="007F4B72"/>
    <w:rsid w:val="007F4D0D"/>
    <w:rsid w:val="007F7560"/>
    <w:rsid w:val="007F787B"/>
    <w:rsid w:val="008026DF"/>
    <w:rsid w:val="008042C9"/>
    <w:rsid w:val="0080687C"/>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5A2A"/>
    <w:rsid w:val="0085725C"/>
    <w:rsid w:val="008576B2"/>
    <w:rsid w:val="008615B9"/>
    <w:rsid w:val="00862A84"/>
    <w:rsid w:val="008638B4"/>
    <w:rsid w:val="00864E93"/>
    <w:rsid w:val="008657BA"/>
    <w:rsid w:val="00867498"/>
    <w:rsid w:val="00870DE4"/>
    <w:rsid w:val="0087102A"/>
    <w:rsid w:val="00874F4E"/>
    <w:rsid w:val="00876D2C"/>
    <w:rsid w:val="008778A5"/>
    <w:rsid w:val="0088210D"/>
    <w:rsid w:val="00882511"/>
    <w:rsid w:val="008866B3"/>
    <w:rsid w:val="00887760"/>
    <w:rsid w:val="00891788"/>
    <w:rsid w:val="00891F6A"/>
    <w:rsid w:val="00892346"/>
    <w:rsid w:val="00893928"/>
    <w:rsid w:val="008961DD"/>
    <w:rsid w:val="008970D2"/>
    <w:rsid w:val="008A0B0E"/>
    <w:rsid w:val="008A0EBE"/>
    <w:rsid w:val="008A22E1"/>
    <w:rsid w:val="008A3AF8"/>
    <w:rsid w:val="008A4EDD"/>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24326"/>
    <w:rsid w:val="0092558E"/>
    <w:rsid w:val="00925CE8"/>
    <w:rsid w:val="00926349"/>
    <w:rsid w:val="0094096C"/>
    <w:rsid w:val="00942FB7"/>
    <w:rsid w:val="0094527A"/>
    <w:rsid w:val="00947BCB"/>
    <w:rsid w:val="0095149D"/>
    <w:rsid w:val="0095196A"/>
    <w:rsid w:val="0095196F"/>
    <w:rsid w:val="00952541"/>
    <w:rsid w:val="009611EE"/>
    <w:rsid w:val="00961770"/>
    <w:rsid w:val="00964090"/>
    <w:rsid w:val="0096554C"/>
    <w:rsid w:val="00965B79"/>
    <w:rsid w:val="00966247"/>
    <w:rsid w:val="009662B2"/>
    <w:rsid w:val="00971EA0"/>
    <w:rsid w:val="009740C0"/>
    <w:rsid w:val="009745CF"/>
    <w:rsid w:val="00974C95"/>
    <w:rsid w:val="009752B7"/>
    <w:rsid w:val="00977397"/>
    <w:rsid w:val="009855B7"/>
    <w:rsid w:val="00986E9E"/>
    <w:rsid w:val="009917BC"/>
    <w:rsid w:val="0099634E"/>
    <w:rsid w:val="009964D6"/>
    <w:rsid w:val="00997E14"/>
    <w:rsid w:val="009A23F7"/>
    <w:rsid w:val="009A38B4"/>
    <w:rsid w:val="009A5593"/>
    <w:rsid w:val="009B0B65"/>
    <w:rsid w:val="009B0C90"/>
    <w:rsid w:val="009B4E37"/>
    <w:rsid w:val="009B5791"/>
    <w:rsid w:val="009B7B3D"/>
    <w:rsid w:val="009C0A8C"/>
    <w:rsid w:val="009C119F"/>
    <w:rsid w:val="009C2623"/>
    <w:rsid w:val="009C558F"/>
    <w:rsid w:val="009D1361"/>
    <w:rsid w:val="009D2883"/>
    <w:rsid w:val="009E143A"/>
    <w:rsid w:val="009E4673"/>
    <w:rsid w:val="009E4E65"/>
    <w:rsid w:val="009E51BB"/>
    <w:rsid w:val="009E6187"/>
    <w:rsid w:val="009E71F7"/>
    <w:rsid w:val="009E769F"/>
    <w:rsid w:val="009F12BD"/>
    <w:rsid w:val="009F28D3"/>
    <w:rsid w:val="00A03C1F"/>
    <w:rsid w:val="00A04FE3"/>
    <w:rsid w:val="00A06076"/>
    <w:rsid w:val="00A06079"/>
    <w:rsid w:val="00A16A47"/>
    <w:rsid w:val="00A21EB8"/>
    <w:rsid w:val="00A236CE"/>
    <w:rsid w:val="00A237B7"/>
    <w:rsid w:val="00A240F2"/>
    <w:rsid w:val="00A253F3"/>
    <w:rsid w:val="00A2732A"/>
    <w:rsid w:val="00A3149C"/>
    <w:rsid w:val="00A315EF"/>
    <w:rsid w:val="00A33798"/>
    <w:rsid w:val="00A33838"/>
    <w:rsid w:val="00A34C96"/>
    <w:rsid w:val="00A355B6"/>
    <w:rsid w:val="00A417E1"/>
    <w:rsid w:val="00A44392"/>
    <w:rsid w:val="00A55B84"/>
    <w:rsid w:val="00A56607"/>
    <w:rsid w:val="00A65297"/>
    <w:rsid w:val="00A674D8"/>
    <w:rsid w:val="00A74129"/>
    <w:rsid w:val="00A75239"/>
    <w:rsid w:val="00A77EDD"/>
    <w:rsid w:val="00A77FB2"/>
    <w:rsid w:val="00A80792"/>
    <w:rsid w:val="00A8310D"/>
    <w:rsid w:val="00A832DD"/>
    <w:rsid w:val="00A83391"/>
    <w:rsid w:val="00A8568A"/>
    <w:rsid w:val="00A90D32"/>
    <w:rsid w:val="00A913C2"/>
    <w:rsid w:val="00A930E0"/>
    <w:rsid w:val="00A93730"/>
    <w:rsid w:val="00A9789D"/>
    <w:rsid w:val="00A97AA2"/>
    <w:rsid w:val="00AA04E8"/>
    <w:rsid w:val="00AA0FA8"/>
    <w:rsid w:val="00AA270E"/>
    <w:rsid w:val="00AA346B"/>
    <w:rsid w:val="00AA38D2"/>
    <w:rsid w:val="00AA3B69"/>
    <w:rsid w:val="00AA51D8"/>
    <w:rsid w:val="00AA5D2F"/>
    <w:rsid w:val="00AA736F"/>
    <w:rsid w:val="00AB08E1"/>
    <w:rsid w:val="00AB0BFA"/>
    <w:rsid w:val="00AB472C"/>
    <w:rsid w:val="00AB64BF"/>
    <w:rsid w:val="00AB7DAB"/>
    <w:rsid w:val="00AC714E"/>
    <w:rsid w:val="00AD03F0"/>
    <w:rsid w:val="00AD1228"/>
    <w:rsid w:val="00AD3AD4"/>
    <w:rsid w:val="00AD4D4B"/>
    <w:rsid w:val="00AD58F4"/>
    <w:rsid w:val="00AE0E86"/>
    <w:rsid w:val="00AE1D47"/>
    <w:rsid w:val="00AE316A"/>
    <w:rsid w:val="00AE52AA"/>
    <w:rsid w:val="00AE70C9"/>
    <w:rsid w:val="00AF10DA"/>
    <w:rsid w:val="00AF1CFD"/>
    <w:rsid w:val="00AF2418"/>
    <w:rsid w:val="00AF47EB"/>
    <w:rsid w:val="00AF7962"/>
    <w:rsid w:val="00B00303"/>
    <w:rsid w:val="00B01315"/>
    <w:rsid w:val="00B01D14"/>
    <w:rsid w:val="00B02DD2"/>
    <w:rsid w:val="00B0318C"/>
    <w:rsid w:val="00B06D0B"/>
    <w:rsid w:val="00B104D1"/>
    <w:rsid w:val="00B1087D"/>
    <w:rsid w:val="00B10FA8"/>
    <w:rsid w:val="00B11416"/>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0EE5"/>
    <w:rsid w:val="00B432A5"/>
    <w:rsid w:val="00B43E44"/>
    <w:rsid w:val="00B5093B"/>
    <w:rsid w:val="00B57C97"/>
    <w:rsid w:val="00B62104"/>
    <w:rsid w:val="00B64F1E"/>
    <w:rsid w:val="00B6673D"/>
    <w:rsid w:val="00B66F07"/>
    <w:rsid w:val="00B67247"/>
    <w:rsid w:val="00B70233"/>
    <w:rsid w:val="00B7040D"/>
    <w:rsid w:val="00B7168F"/>
    <w:rsid w:val="00B75D39"/>
    <w:rsid w:val="00B776B8"/>
    <w:rsid w:val="00B90730"/>
    <w:rsid w:val="00B91833"/>
    <w:rsid w:val="00B918D2"/>
    <w:rsid w:val="00B91BF1"/>
    <w:rsid w:val="00B92679"/>
    <w:rsid w:val="00B94025"/>
    <w:rsid w:val="00B95B59"/>
    <w:rsid w:val="00BA0A23"/>
    <w:rsid w:val="00BA20DE"/>
    <w:rsid w:val="00BB0A81"/>
    <w:rsid w:val="00BB159C"/>
    <w:rsid w:val="00BB4097"/>
    <w:rsid w:val="00BB7279"/>
    <w:rsid w:val="00BB7C6F"/>
    <w:rsid w:val="00BC1415"/>
    <w:rsid w:val="00BC2A37"/>
    <w:rsid w:val="00BC2B10"/>
    <w:rsid w:val="00BC757D"/>
    <w:rsid w:val="00BD2598"/>
    <w:rsid w:val="00BD62C7"/>
    <w:rsid w:val="00BE1152"/>
    <w:rsid w:val="00BE27A7"/>
    <w:rsid w:val="00BE3F96"/>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44F4"/>
    <w:rsid w:val="00C25728"/>
    <w:rsid w:val="00C25A30"/>
    <w:rsid w:val="00C26282"/>
    <w:rsid w:val="00C26BFC"/>
    <w:rsid w:val="00C27B3B"/>
    <w:rsid w:val="00C33FBC"/>
    <w:rsid w:val="00C34BE2"/>
    <w:rsid w:val="00C4042B"/>
    <w:rsid w:val="00C419D2"/>
    <w:rsid w:val="00C41CBC"/>
    <w:rsid w:val="00C43028"/>
    <w:rsid w:val="00C43F03"/>
    <w:rsid w:val="00C44FC0"/>
    <w:rsid w:val="00C4569D"/>
    <w:rsid w:val="00C45EA7"/>
    <w:rsid w:val="00C50425"/>
    <w:rsid w:val="00C51254"/>
    <w:rsid w:val="00C574B8"/>
    <w:rsid w:val="00C57D78"/>
    <w:rsid w:val="00C65621"/>
    <w:rsid w:val="00C7224B"/>
    <w:rsid w:val="00C7610A"/>
    <w:rsid w:val="00C77790"/>
    <w:rsid w:val="00C866DA"/>
    <w:rsid w:val="00C86C70"/>
    <w:rsid w:val="00C92744"/>
    <w:rsid w:val="00C940F0"/>
    <w:rsid w:val="00C96B08"/>
    <w:rsid w:val="00C96DD2"/>
    <w:rsid w:val="00CA0054"/>
    <w:rsid w:val="00CA1AF3"/>
    <w:rsid w:val="00CA29A9"/>
    <w:rsid w:val="00CA2E07"/>
    <w:rsid w:val="00CA2EA6"/>
    <w:rsid w:val="00CA3127"/>
    <w:rsid w:val="00CA7F4C"/>
    <w:rsid w:val="00CC19AB"/>
    <w:rsid w:val="00CC26AA"/>
    <w:rsid w:val="00CC3B3C"/>
    <w:rsid w:val="00CC4105"/>
    <w:rsid w:val="00CC4FF3"/>
    <w:rsid w:val="00CC73C0"/>
    <w:rsid w:val="00CD1095"/>
    <w:rsid w:val="00CD5EC6"/>
    <w:rsid w:val="00CD6409"/>
    <w:rsid w:val="00CD67DA"/>
    <w:rsid w:val="00CD79BB"/>
    <w:rsid w:val="00CE16B6"/>
    <w:rsid w:val="00CE1CA8"/>
    <w:rsid w:val="00CE4109"/>
    <w:rsid w:val="00CE4CCD"/>
    <w:rsid w:val="00CE4F2D"/>
    <w:rsid w:val="00CF0A75"/>
    <w:rsid w:val="00CF5309"/>
    <w:rsid w:val="00CF7196"/>
    <w:rsid w:val="00D00999"/>
    <w:rsid w:val="00D015DA"/>
    <w:rsid w:val="00D0224B"/>
    <w:rsid w:val="00D02FFC"/>
    <w:rsid w:val="00D04424"/>
    <w:rsid w:val="00D05625"/>
    <w:rsid w:val="00D058C7"/>
    <w:rsid w:val="00D208E4"/>
    <w:rsid w:val="00D21BE3"/>
    <w:rsid w:val="00D22F27"/>
    <w:rsid w:val="00D254AE"/>
    <w:rsid w:val="00D30BF2"/>
    <w:rsid w:val="00D34C78"/>
    <w:rsid w:val="00D45AA5"/>
    <w:rsid w:val="00D47C66"/>
    <w:rsid w:val="00D504EB"/>
    <w:rsid w:val="00D526F9"/>
    <w:rsid w:val="00D53F9E"/>
    <w:rsid w:val="00D556F7"/>
    <w:rsid w:val="00D601B5"/>
    <w:rsid w:val="00D601FC"/>
    <w:rsid w:val="00D60C3C"/>
    <w:rsid w:val="00D61B6D"/>
    <w:rsid w:val="00D6287C"/>
    <w:rsid w:val="00D65ADB"/>
    <w:rsid w:val="00D66262"/>
    <w:rsid w:val="00D75510"/>
    <w:rsid w:val="00D76EAB"/>
    <w:rsid w:val="00D77A2D"/>
    <w:rsid w:val="00D80982"/>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B032C"/>
    <w:rsid w:val="00DB1907"/>
    <w:rsid w:val="00DB5FF8"/>
    <w:rsid w:val="00DC3286"/>
    <w:rsid w:val="00DC36B5"/>
    <w:rsid w:val="00DC619C"/>
    <w:rsid w:val="00DD10F4"/>
    <w:rsid w:val="00DD21E6"/>
    <w:rsid w:val="00DD348D"/>
    <w:rsid w:val="00DD4116"/>
    <w:rsid w:val="00DD5EB7"/>
    <w:rsid w:val="00DD6851"/>
    <w:rsid w:val="00DD696C"/>
    <w:rsid w:val="00DE68C9"/>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2FA6"/>
    <w:rsid w:val="00E3310E"/>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66B43"/>
    <w:rsid w:val="00E70626"/>
    <w:rsid w:val="00E7087A"/>
    <w:rsid w:val="00E7385E"/>
    <w:rsid w:val="00E73918"/>
    <w:rsid w:val="00E74B3B"/>
    <w:rsid w:val="00E7554D"/>
    <w:rsid w:val="00E75D64"/>
    <w:rsid w:val="00E76017"/>
    <w:rsid w:val="00E762A6"/>
    <w:rsid w:val="00E8457E"/>
    <w:rsid w:val="00E8529E"/>
    <w:rsid w:val="00E85B5A"/>
    <w:rsid w:val="00E87112"/>
    <w:rsid w:val="00E87792"/>
    <w:rsid w:val="00E87A7F"/>
    <w:rsid w:val="00E917FD"/>
    <w:rsid w:val="00E93806"/>
    <w:rsid w:val="00E95024"/>
    <w:rsid w:val="00EA024B"/>
    <w:rsid w:val="00EA6F34"/>
    <w:rsid w:val="00EA7C81"/>
    <w:rsid w:val="00EB03FE"/>
    <w:rsid w:val="00EB1775"/>
    <w:rsid w:val="00EB1964"/>
    <w:rsid w:val="00EB3D5A"/>
    <w:rsid w:val="00EC2678"/>
    <w:rsid w:val="00EC3353"/>
    <w:rsid w:val="00EC37C0"/>
    <w:rsid w:val="00EC3D97"/>
    <w:rsid w:val="00EC5999"/>
    <w:rsid w:val="00ED0784"/>
    <w:rsid w:val="00ED27BB"/>
    <w:rsid w:val="00ED5052"/>
    <w:rsid w:val="00ED630D"/>
    <w:rsid w:val="00EE02F3"/>
    <w:rsid w:val="00EE0FE1"/>
    <w:rsid w:val="00EF0788"/>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785"/>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6181"/>
    <w:rsid w:val="00F86C09"/>
    <w:rsid w:val="00F91BF4"/>
    <w:rsid w:val="00F94A45"/>
    <w:rsid w:val="00F962DD"/>
    <w:rsid w:val="00F96D74"/>
    <w:rsid w:val="00FA01B7"/>
    <w:rsid w:val="00FA357F"/>
    <w:rsid w:val="00FA43FC"/>
    <w:rsid w:val="00FA6284"/>
    <w:rsid w:val="00FA675D"/>
    <w:rsid w:val="00FB0A67"/>
    <w:rsid w:val="00FB3824"/>
    <w:rsid w:val="00FB4703"/>
    <w:rsid w:val="00FB5337"/>
    <w:rsid w:val="00FB62F9"/>
    <w:rsid w:val="00FB63D2"/>
    <w:rsid w:val="00FB7AE9"/>
    <w:rsid w:val="00FC162D"/>
    <w:rsid w:val="00FC16A1"/>
    <w:rsid w:val="00FC63B5"/>
    <w:rsid w:val="00FC656A"/>
    <w:rsid w:val="00FC695B"/>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DA5F1F4B-1494-481B-87AB-50D00D2B2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2,Body of textCxSp,Colorful List - Accent 11,kepala 1,Heading 31,List Paragraph11,Body of text1,Colorful List - Accent 111,Body of text2,List Paragraph12,Colorful List - Accent 112,Body of text3"/>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aliases w:val="Body of text Char,List Paragraph1 Char,Body of text+2 Char,Body of textCxSp Char,Colorful List - Accent 11 Char,kepala 1 Char,Heading 31 Char,List Paragraph11 Char,Body of text1 Char,Colorful List - Accent 111 Char,Body of text2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B70233"/>
    <w:pPr>
      <w:spacing w:after="120"/>
      <w:jc w:val="both"/>
    </w:pPr>
    <w:rPr>
      <w:rFonts w:ascii="Garamond" w:hAnsi="Garamond" w:cs="Times New Roman"/>
      <w:sz w:val="24"/>
      <w:szCs w:val="22"/>
    </w:rPr>
  </w:style>
  <w:style w:type="paragraph" w:customStyle="1" w:styleId="1Judul-Title">
    <w:name w:val="1. Judul - Title"/>
    <w:next w:val="2Penulis-Author"/>
    <w:qFormat/>
    <w:rsid w:val="0007716B"/>
    <w:pPr>
      <w:spacing w:before="144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4973E0"/>
    <w:pPr>
      <w:spacing w:after="120"/>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TableParagraph">
    <w:name w:val="Table Paragraph"/>
    <w:basedOn w:val="Normal"/>
    <w:uiPriority w:val="1"/>
    <w:qFormat/>
    <w:rsid w:val="004E6C7B"/>
    <w:pPr>
      <w:widowControl w:val="0"/>
      <w:autoSpaceDE w:val="0"/>
      <w:autoSpaceDN w:val="0"/>
      <w:ind w:firstLine="0"/>
      <w:jc w:val="center"/>
    </w:pPr>
    <w:rPr>
      <w:rFonts w:ascii="Times New Roman" w:hAnsi="Times New Roman"/>
      <w:sz w:val="22"/>
    </w:rPr>
  </w:style>
  <w:style w:type="table" w:styleId="PlainTable2">
    <w:name w:val="Plain Table 2"/>
    <w:basedOn w:val="TableNormal"/>
    <w:uiPriority w:val="42"/>
    <w:rsid w:val="003F7ED6"/>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otnoteReference">
    <w:name w:val="footnote reference"/>
    <w:basedOn w:val="DefaultParagraphFont"/>
    <w:uiPriority w:val="99"/>
    <w:semiHidden/>
    <w:unhideWhenUsed/>
    <w:rsid w:val="002951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1590">
      <w:bodyDiv w:val="1"/>
      <w:marLeft w:val="0"/>
      <w:marRight w:val="0"/>
      <w:marTop w:val="0"/>
      <w:marBottom w:val="0"/>
      <w:divBdr>
        <w:top w:val="none" w:sz="0" w:space="0" w:color="auto"/>
        <w:left w:val="none" w:sz="0" w:space="0" w:color="auto"/>
        <w:bottom w:val="none" w:sz="0" w:space="0" w:color="auto"/>
        <w:right w:val="none" w:sz="0" w:space="0" w:color="auto"/>
      </w:divBdr>
    </w:div>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61686678">
      <w:bodyDiv w:val="1"/>
      <w:marLeft w:val="0"/>
      <w:marRight w:val="0"/>
      <w:marTop w:val="0"/>
      <w:marBottom w:val="0"/>
      <w:divBdr>
        <w:top w:val="none" w:sz="0" w:space="0" w:color="auto"/>
        <w:left w:val="none" w:sz="0" w:space="0" w:color="auto"/>
        <w:bottom w:val="none" w:sz="0" w:space="0" w:color="auto"/>
        <w:right w:val="none" w:sz="0" w:space="0" w:color="auto"/>
      </w:divBdr>
    </w:div>
    <w:div w:id="72241209">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61505283">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425924191">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779446921">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37661890">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108311987">
      <w:bodyDiv w:val="1"/>
      <w:marLeft w:val="0"/>
      <w:marRight w:val="0"/>
      <w:marTop w:val="0"/>
      <w:marBottom w:val="0"/>
      <w:divBdr>
        <w:top w:val="none" w:sz="0" w:space="0" w:color="auto"/>
        <w:left w:val="none" w:sz="0" w:space="0" w:color="auto"/>
        <w:bottom w:val="none" w:sz="0" w:space="0" w:color="auto"/>
        <w:right w:val="none" w:sz="0" w:space="0" w:color="auto"/>
      </w:divBdr>
    </w:div>
    <w:div w:id="1180971045">
      <w:bodyDiv w:val="1"/>
      <w:marLeft w:val="0"/>
      <w:marRight w:val="0"/>
      <w:marTop w:val="0"/>
      <w:marBottom w:val="0"/>
      <w:divBdr>
        <w:top w:val="none" w:sz="0" w:space="0" w:color="auto"/>
        <w:left w:val="none" w:sz="0" w:space="0" w:color="auto"/>
        <w:bottom w:val="none" w:sz="0" w:space="0" w:color="auto"/>
        <w:right w:val="none" w:sz="0" w:space="0" w:color="auto"/>
      </w:divBdr>
    </w:div>
    <w:div w:id="1252276902">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435175822">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568833069">
      <w:bodyDiv w:val="1"/>
      <w:marLeft w:val="0"/>
      <w:marRight w:val="0"/>
      <w:marTop w:val="0"/>
      <w:marBottom w:val="0"/>
      <w:divBdr>
        <w:top w:val="none" w:sz="0" w:space="0" w:color="auto"/>
        <w:left w:val="none" w:sz="0" w:space="0" w:color="auto"/>
        <w:bottom w:val="none" w:sz="0" w:space="0" w:color="auto"/>
        <w:right w:val="none" w:sz="0" w:space="0" w:color="auto"/>
      </w:divBdr>
    </w:div>
    <w:div w:id="169345756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1782354">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56186742">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tiyulia911@gmail.com"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lennyzaroha@yahoo.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safrizal@iainbatusangkar.ac.id"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Mor08</b:Tag>
    <b:SourceType>Book</b:SourceType>
    <b:Guid>{48DD1586-6F47-4458-94DA-D1941A5F4844}</b:Guid>
    <b:Author>
      <b:Author>
        <b:NameList>
          <b:Person>
            <b:Last>Morocco</b:Last>
          </b:Person>
        </b:NameList>
      </b:Author>
    </b:Author>
    <b:Title>Supported Literacy for Adolescements : Transforming Teaching and Content Learning for the 21 st Century</b:Title>
    <b:Year>2008</b:Year>
    <b:Publisher>Published by Jossy-Bass</b:Publisher>
    <b:RefOrder>4</b:RefOrder>
  </b:Source>
  <b:Source>
    <b:Tag>Toh11</b:Tag>
    <b:SourceType>Book</b:SourceType>
    <b:Guid>{D957F0E3-751D-401A-A7FD-7FB722C96372}</b:Guid>
    <b:Author>
      <b:Author>
        <b:NameList>
          <b:Person>
            <b:Last>Toharuddin</b:Last>
          </b:Person>
        </b:NameList>
      </b:Author>
    </b:Author>
    <b:Title>Membangun Literasi Sains Peserta Didik</b:Title>
    <b:Year>2011</b:Year>
    <b:City>Bandung</b:City>
    <b:Publisher>Humaniora</b:Publisher>
    <b:RefOrder>1</b:RefOrder>
  </b:Source>
  <b:Source>
    <b:Tag>WHa14</b:Tag>
    <b:SourceType>Report</b:SourceType>
    <b:Guid>{6843B901-B0A3-499B-95F8-4170120ADF34}</b:Guid>
    <b:Author>
      <b:Author>
        <b:NameList>
          <b:Person>
            <b:Last>Suroso</b:Last>
          </b:Person>
        </b:NameList>
      </b:Author>
    </b:Author>
    <b:Title>Penerapan  ModelPembelajaran Kontekstual dalam Meningkatkan Keterampilan Proses dan Hasil Belajar SainsSiswa Kelas V SD No 5 Bandung</b:Title>
    <b:Year>2012</b:Year>
    <b:City>Bandung</b:City>
    <b:Publisher>Universitas Pendidikan Indonesia</b:Publisher>
    <b:RefOrder>5</b:RefOrder>
  </b:Source>
  <b:Source>
    <b:Tag>Eri08</b:Tag>
    <b:SourceType>Book</b:SourceType>
    <b:Guid>{C5A21739-D1A6-4727-89E9-5D9F53BFEEAC}</b:Guid>
    <b:Title>Nature and Young Children (Encouragng creative play and learning in natural environments</b:Title>
    <b:Year>2008</b:Year>
    <b:Publisher>Routledge</b:Publisher>
    <b:City>United States of America</b:City>
    <b:Author>
      <b:Author>
        <b:NameList>
          <b:Person>
            <b:Last>Wilson</b:Last>
            <b:First>Erica</b:First>
            <b:Middle>Beth</b:Middle>
          </b:Person>
        </b:NameList>
      </b:Author>
    </b:Author>
    <b:RefOrder>2</b:RefOrder>
  </b:Source>
  <b:Source>
    <b:Tag>Jud05</b:Tag>
    <b:SourceType>Book</b:SourceType>
    <b:Guid>{C73448B8-638B-4475-ACFD-4FA42CD39F94}</b:Guid>
    <b:Author>
      <b:Author>
        <b:NameList>
          <b:Person>
            <b:Last>Ogle</b:Last>
            <b:First>Judy</b:First>
            <b:Middle>McKee and Donna</b:Middle>
          </b:Person>
        </b:NameList>
      </b:Author>
    </b:Author>
    <b:Title>Integrating Instruction Literacy and Science</b:Title>
    <b:Year>2005</b:Year>
    <b:City>Newyork</b:City>
    <b:Publisher>The Guilford Press </b:Publisher>
    <b:RefOrder>3</b:RefOrder>
  </b:Source>
</b:Sources>
</file>

<file path=customXml/itemProps1.xml><?xml version="1.0" encoding="utf-8"?>
<ds:datastoreItem xmlns:ds="http://schemas.openxmlformats.org/officeDocument/2006/customXml" ds:itemID="{C5F06FEF-4201-4EDA-8B18-B6F6AF084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Pages>9</Pages>
  <Words>4032</Words>
  <Characters>102508</Characters>
  <Application>Microsoft Office Word</Application>
  <DocSecurity>0</DocSecurity>
  <Lines>854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DELL 3330</cp:lastModifiedBy>
  <cp:revision>10</cp:revision>
  <cp:lastPrinted>2016-05-30T03:01:00Z</cp:lastPrinted>
  <dcterms:created xsi:type="dcterms:W3CDTF">2020-06-13T02:07:00Z</dcterms:created>
  <dcterms:modified xsi:type="dcterms:W3CDTF">2020-06-15T01:30:00Z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2cade68e-1dc0-3e4f-8801-31dcf6008929</vt:lpwstr>
  </property>
</Properties>
</file>